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DA5DB8" w14:textId="77777777" w:rsidR="00B73A98" w:rsidRPr="0069503F" w:rsidRDefault="00B73A98" w:rsidP="00B73A98">
      <w:pPr>
        <w:spacing w:line="360" w:lineRule="auto"/>
        <w:jc w:val="right"/>
        <w:rPr>
          <w:b/>
        </w:rPr>
      </w:pPr>
      <w:r>
        <w:rPr>
          <w:b/>
        </w:rPr>
        <w:t>20</w:t>
      </w:r>
      <w:r w:rsidRPr="0069503F">
        <w:rPr>
          <w:b/>
        </w:rPr>
        <w:t xml:space="preserve"> XII 2021 r.</w:t>
      </w:r>
    </w:p>
    <w:p w14:paraId="724A3442" w14:textId="77777777" w:rsidR="00465B7C" w:rsidRDefault="00465B7C" w:rsidP="00B73A98">
      <w:pPr>
        <w:spacing w:line="360" w:lineRule="auto"/>
        <w:rPr>
          <w:b/>
        </w:rPr>
      </w:pPr>
      <w:r>
        <w:rPr>
          <w:b/>
        </w:rPr>
        <w:t>Nowy nr RCA.0610.43.2023</w:t>
      </w:r>
    </w:p>
    <w:p w14:paraId="23C3AEB5" w14:textId="77777777" w:rsidR="00B73A98" w:rsidRDefault="00465B7C" w:rsidP="00B73A98">
      <w:pPr>
        <w:spacing w:line="360" w:lineRule="auto"/>
        <w:rPr>
          <w:b/>
        </w:rPr>
      </w:pPr>
      <w:r>
        <w:rPr>
          <w:b/>
        </w:rPr>
        <w:t xml:space="preserve">Poprzedni nr </w:t>
      </w:r>
      <w:r w:rsidR="00B73A98" w:rsidRPr="0069503F">
        <w:rPr>
          <w:b/>
        </w:rPr>
        <w:t>RCA.0610.122.2021</w:t>
      </w:r>
    </w:p>
    <w:p w14:paraId="25120A6E" w14:textId="77777777" w:rsidR="00B73A98" w:rsidRPr="0069503F" w:rsidRDefault="00B73A98" w:rsidP="00B73A98">
      <w:pPr>
        <w:spacing w:line="360" w:lineRule="auto"/>
        <w:rPr>
          <w:b/>
        </w:rPr>
      </w:pPr>
    </w:p>
    <w:p w14:paraId="4026EC09" w14:textId="77777777" w:rsidR="00B73A98" w:rsidRPr="0069503F" w:rsidRDefault="00B73A98" w:rsidP="00B73A98">
      <w:pPr>
        <w:spacing w:line="360" w:lineRule="auto"/>
        <w:jc w:val="center"/>
        <w:rPr>
          <w:b/>
        </w:rPr>
      </w:pPr>
      <w:r w:rsidRPr="0069503F">
        <w:rPr>
          <w:b/>
        </w:rPr>
        <w:t>Opinia Rządowego Centrum Analiz</w:t>
      </w:r>
    </w:p>
    <w:p w14:paraId="3039F973" w14:textId="77777777" w:rsidR="00B73A98" w:rsidRPr="0069503F" w:rsidRDefault="00B73A98" w:rsidP="00B73A98">
      <w:pPr>
        <w:spacing w:line="360" w:lineRule="auto"/>
        <w:jc w:val="center"/>
        <w:rPr>
          <w:b/>
        </w:rPr>
      </w:pPr>
      <w:r w:rsidRPr="0069503F">
        <w:rPr>
          <w:b/>
        </w:rPr>
        <w:t>Kancelarii Prezesa Rady Ministrów</w:t>
      </w:r>
    </w:p>
    <w:p w14:paraId="3B2384FF" w14:textId="77777777" w:rsidR="00B73A98" w:rsidRPr="0069503F" w:rsidRDefault="00B73A98" w:rsidP="00B73A98">
      <w:pPr>
        <w:spacing w:line="360" w:lineRule="auto"/>
        <w:jc w:val="center"/>
        <w:rPr>
          <w:b/>
        </w:rPr>
      </w:pPr>
      <w:r w:rsidRPr="0069503F">
        <w:rPr>
          <w:b/>
        </w:rPr>
        <w:t>RCA-1</w:t>
      </w:r>
    </w:p>
    <w:p w14:paraId="5CB20AC5" w14:textId="77777777" w:rsidR="00B73A98" w:rsidRPr="0069503F" w:rsidRDefault="00B73A98" w:rsidP="00B73A98">
      <w:pPr>
        <w:spacing w:line="360" w:lineRule="auto"/>
        <w:jc w:val="center"/>
        <w:rPr>
          <w:b/>
        </w:rPr>
      </w:pPr>
      <w:r w:rsidRPr="0069503F">
        <w:rPr>
          <w:i/>
        </w:rPr>
        <w:t xml:space="preserve">Ustawa o zmianie ustawy –  Prawo restrukturyzacyjne oraz ustawy – Prawo upadłościowe </w:t>
      </w:r>
      <w:r w:rsidRPr="0069503F">
        <w:rPr>
          <w:b/>
        </w:rPr>
        <w:t>Minister Sprawiedliwości</w:t>
      </w:r>
    </w:p>
    <w:p w14:paraId="35540321" w14:textId="77777777" w:rsidR="00B73A98" w:rsidRPr="0069503F" w:rsidRDefault="00B73A98" w:rsidP="00B73A98">
      <w:pPr>
        <w:spacing w:after="120" w:line="360" w:lineRule="auto"/>
        <w:rPr>
          <w:b/>
        </w:rPr>
      </w:pPr>
    </w:p>
    <w:p w14:paraId="7308E17A" w14:textId="77777777" w:rsidR="00B73A98" w:rsidRPr="0069503F" w:rsidRDefault="00B73A98" w:rsidP="00B73A98">
      <w:pPr>
        <w:spacing w:after="120" w:line="360" w:lineRule="auto"/>
        <w:jc w:val="both"/>
      </w:pPr>
      <w:r w:rsidRPr="0069503F">
        <w:rPr>
          <w:b/>
        </w:rPr>
        <w:t>Rekomendacja: pozytywna z zastrzeżeniami</w:t>
      </w:r>
    </w:p>
    <w:p w14:paraId="36BEF304" w14:textId="77777777" w:rsidR="00B73A98" w:rsidRPr="0069503F" w:rsidRDefault="00B73A98" w:rsidP="00B73A98">
      <w:pPr>
        <w:pStyle w:val="Akapitzlist"/>
        <w:numPr>
          <w:ilvl w:val="0"/>
          <w:numId w:val="1"/>
        </w:numPr>
        <w:spacing w:after="120" w:line="360" w:lineRule="auto"/>
        <w:ind w:left="357" w:hanging="357"/>
        <w:contextualSpacing w:val="0"/>
        <w:jc w:val="both"/>
        <w:rPr>
          <w:rFonts w:ascii="Times New Roman" w:hAnsi="Times New Roman"/>
          <w:b/>
          <w:sz w:val="24"/>
          <w:szCs w:val="24"/>
        </w:rPr>
      </w:pPr>
      <w:r w:rsidRPr="0069503F">
        <w:rPr>
          <w:rFonts w:ascii="Times New Roman" w:hAnsi="Times New Roman"/>
          <w:b/>
          <w:sz w:val="24"/>
          <w:szCs w:val="24"/>
        </w:rPr>
        <w:t>Omówienie projektowanych rozwiązań</w:t>
      </w:r>
    </w:p>
    <w:p w14:paraId="567DB74B" w14:textId="77777777" w:rsidR="00B73A98" w:rsidRPr="0069503F" w:rsidRDefault="00B73A98" w:rsidP="00B73A98">
      <w:pPr>
        <w:pStyle w:val="Akapitzlist"/>
        <w:spacing w:after="0" w:line="360" w:lineRule="auto"/>
        <w:ind w:left="0"/>
        <w:contextualSpacing w:val="0"/>
        <w:jc w:val="both"/>
        <w:rPr>
          <w:rFonts w:ascii="Times New Roman" w:hAnsi="Times New Roman"/>
          <w:color w:val="000000"/>
          <w:spacing w:val="-2"/>
          <w:sz w:val="24"/>
          <w:szCs w:val="24"/>
        </w:rPr>
      </w:pPr>
      <w:r w:rsidRPr="0069503F">
        <w:rPr>
          <w:rFonts w:ascii="Times New Roman" w:hAnsi="Times New Roman"/>
          <w:sz w:val="24"/>
          <w:szCs w:val="24"/>
        </w:rPr>
        <w:t xml:space="preserve">Projekt stanowi implementację </w:t>
      </w:r>
      <w:r w:rsidRPr="0069503F">
        <w:rPr>
          <w:rFonts w:ascii="Times New Roman" w:hAnsi="Times New Roman"/>
          <w:i/>
          <w:sz w:val="24"/>
          <w:szCs w:val="24"/>
        </w:rPr>
        <w:t xml:space="preserve">dyrektywy Parlamentu Europejskiego i Rady (UE) 2019/1023 </w:t>
      </w:r>
      <w:r>
        <w:rPr>
          <w:rFonts w:ascii="Times New Roman" w:hAnsi="Times New Roman"/>
          <w:i/>
          <w:sz w:val="24"/>
          <w:szCs w:val="24"/>
        </w:rPr>
        <w:br/>
      </w:r>
      <w:r w:rsidRPr="0069503F">
        <w:rPr>
          <w:rFonts w:ascii="Times New Roman" w:hAnsi="Times New Roman"/>
          <w:i/>
          <w:sz w:val="24"/>
          <w:szCs w:val="24"/>
        </w:rPr>
        <w:t xml:space="preserve">z dnia 20 czerwca 2019 r. w sprawie ram restrukturyzacji zapobiegawczej, umorzenia długów </w:t>
      </w:r>
      <w:r>
        <w:rPr>
          <w:rFonts w:ascii="Times New Roman" w:hAnsi="Times New Roman"/>
          <w:i/>
          <w:sz w:val="24"/>
          <w:szCs w:val="24"/>
        </w:rPr>
        <w:br/>
      </w:r>
      <w:r w:rsidRPr="0069503F">
        <w:rPr>
          <w:rFonts w:ascii="Times New Roman" w:hAnsi="Times New Roman"/>
          <w:i/>
          <w:sz w:val="24"/>
          <w:szCs w:val="24"/>
        </w:rPr>
        <w:t xml:space="preserve">i zakazów prowadzenia działalności oraz w sprawie środków zwiększających skuteczność postępowań dotyczących restrukturyzacji, niewypłacalności i umorzenia długów, a także zmieniającej dyrektywę (UE) 2017/1132 (dyrektywa o restrukturyzacji i upadłości). </w:t>
      </w:r>
      <w:r w:rsidRPr="0069503F">
        <w:rPr>
          <w:rFonts w:ascii="Times New Roman" w:hAnsi="Times New Roman"/>
          <w:color w:val="000000"/>
          <w:spacing w:val="-2"/>
          <w:sz w:val="24"/>
          <w:szCs w:val="24"/>
        </w:rPr>
        <w:t>Dyrektywa 2019/1023 ma na celu ujednolicenie regulacji dotyczących po</w:t>
      </w:r>
      <w:r>
        <w:rPr>
          <w:rFonts w:ascii="Times New Roman" w:hAnsi="Times New Roman"/>
          <w:color w:val="000000"/>
          <w:spacing w:val="-2"/>
          <w:sz w:val="24"/>
          <w:szCs w:val="24"/>
        </w:rPr>
        <w:t xml:space="preserve">stępowań restrukturyzacyjnych </w:t>
      </w:r>
      <w:r>
        <w:rPr>
          <w:rFonts w:ascii="Times New Roman" w:hAnsi="Times New Roman"/>
          <w:color w:val="000000"/>
          <w:spacing w:val="-2"/>
          <w:sz w:val="24"/>
          <w:szCs w:val="24"/>
        </w:rPr>
        <w:br/>
        <w:t xml:space="preserve">w </w:t>
      </w:r>
      <w:r w:rsidRPr="0069503F">
        <w:rPr>
          <w:rFonts w:ascii="Times New Roman" w:hAnsi="Times New Roman"/>
          <w:color w:val="000000"/>
          <w:spacing w:val="-2"/>
          <w:sz w:val="24"/>
          <w:szCs w:val="24"/>
        </w:rPr>
        <w:t>krajach członkowskich, aby zapewnić prawidłowe funkcjonowanie rynku wewnętrznego. Postępowanie restrukturyzacyjne ma umożliwić przedsiębiorcom znajdującym się w trudnej sytuacji kontynuowanie prowadzonej działalności oraz przeciwdziałać likwidacji miejsc pracy.</w:t>
      </w:r>
    </w:p>
    <w:p w14:paraId="2FEDA618" w14:textId="77777777" w:rsidR="00B73A98" w:rsidRPr="0069503F" w:rsidRDefault="00B73A98" w:rsidP="00B73A98">
      <w:pPr>
        <w:pStyle w:val="Akapitzlist"/>
        <w:spacing w:after="0" w:line="360" w:lineRule="auto"/>
        <w:ind w:left="0"/>
        <w:contextualSpacing w:val="0"/>
        <w:jc w:val="both"/>
        <w:rPr>
          <w:rFonts w:ascii="Times New Roman" w:hAnsi="Times New Roman"/>
          <w:color w:val="000000"/>
          <w:spacing w:val="-2"/>
          <w:sz w:val="24"/>
          <w:szCs w:val="24"/>
        </w:rPr>
      </w:pPr>
      <w:r w:rsidRPr="0069503F">
        <w:rPr>
          <w:rFonts w:ascii="Times New Roman" w:hAnsi="Times New Roman"/>
          <w:color w:val="000000"/>
          <w:spacing w:val="-2"/>
          <w:sz w:val="24"/>
          <w:szCs w:val="24"/>
        </w:rPr>
        <w:t xml:space="preserve">W ocenie Wnioskodawcy „[d]yrektywa 2019/1023 w znacznej mierze znajduje już odzwierciedlenie w przepisach </w:t>
      </w:r>
      <w:r w:rsidRPr="0069503F">
        <w:rPr>
          <w:rFonts w:ascii="Times New Roman" w:hAnsi="Times New Roman"/>
          <w:i/>
          <w:color w:val="000000"/>
          <w:spacing w:val="-2"/>
          <w:sz w:val="24"/>
          <w:szCs w:val="24"/>
        </w:rPr>
        <w:t xml:space="preserve">ustawy z dnia 15 maja 2015 r. – Prawo restrukturyzacyjne (Dz. U. z 2021 r. poz. 1588) oraz ustawy z dnia 28 lutego 2003 r. – Prawo upadłościowe </w:t>
      </w:r>
      <w:r w:rsidRPr="0069503F">
        <w:rPr>
          <w:rFonts w:ascii="Times New Roman" w:hAnsi="Times New Roman"/>
          <w:color w:val="000000"/>
          <w:spacing w:val="-2"/>
          <w:sz w:val="24"/>
          <w:szCs w:val="24"/>
        </w:rPr>
        <w:t>(Dz. U. z 2020 r. poz. 1228), jednak niezbędna jest implementacja części jej zapisów dotyczących m.in. uregulowania zakresu wstrzymania indywidualnych czynności egzekucyjnych, zatwierdzenia planu restrukturyzacji wbrew sprzeciwowi grupy wierzycieli, jak również ochrony nowego finansowania, finansowania przejściowego oraz innych transakcji związanych z restrukturyzacją”.</w:t>
      </w:r>
    </w:p>
    <w:p w14:paraId="4B09A522" w14:textId="77777777" w:rsidR="00B73A98" w:rsidRPr="0069503F" w:rsidRDefault="00B73A98" w:rsidP="00B73A98">
      <w:pPr>
        <w:pStyle w:val="Akapitzlist"/>
        <w:spacing w:after="0" w:line="360" w:lineRule="auto"/>
        <w:ind w:left="0"/>
        <w:contextualSpacing w:val="0"/>
        <w:jc w:val="both"/>
        <w:rPr>
          <w:rFonts w:ascii="Times New Roman" w:hAnsi="Times New Roman"/>
          <w:b/>
          <w:sz w:val="24"/>
          <w:szCs w:val="24"/>
        </w:rPr>
      </w:pPr>
      <w:r w:rsidRPr="0069503F">
        <w:rPr>
          <w:rFonts w:ascii="Times New Roman" w:hAnsi="Times New Roman"/>
          <w:color w:val="000000"/>
          <w:spacing w:val="-2"/>
          <w:sz w:val="24"/>
          <w:szCs w:val="24"/>
        </w:rPr>
        <w:t xml:space="preserve">W </w:t>
      </w:r>
      <w:r w:rsidRPr="0069503F">
        <w:rPr>
          <w:rFonts w:ascii="Times New Roman" w:hAnsi="Times New Roman"/>
          <w:i/>
          <w:color w:val="000000"/>
          <w:spacing w:val="-2"/>
          <w:sz w:val="24"/>
          <w:szCs w:val="24"/>
        </w:rPr>
        <w:t>ustawie z dnia 15 maja 2015 r. – Prawo restrukturyzacyjne</w:t>
      </w:r>
      <w:r w:rsidRPr="0069503F">
        <w:rPr>
          <w:rFonts w:ascii="Times New Roman" w:hAnsi="Times New Roman"/>
          <w:color w:val="000000"/>
          <w:spacing w:val="-2"/>
          <w:sz w:val="24"/>
          <w:szCs w:val="24"/>
        </w:rPr>
        <w:t xml:space="preserve"> główne zmiany obejmują:</w:t>
      </w:r>
    </w:p>
    <w:p w14:paraId="4C10EEF4" w14:textId="77777777" w:rsidR="00B73A98" w:rsidRDefault="00B73A98" w:rsidP="00B73A98">
      <w:pPr>
        <w:pStyle w:val="Akapitzlist"/>
        <w:numPr>
          <w:ilvl w:val="0"/>
          <w:numId w:val="29"/>
        </w:numPr>
        <w:spacing w:after="120" w:line="360" w:lineRule="auto"/>
        <w:ind w:left="700"/>
        <w:jc w:val="both"/>
        <w:rPr>
          <w:rFonts w:ascii="Times New Roman" w:eastAsia="Times New Roman" w:hAnsi="Times New Roman"/>
          <w:color w:val="000000"/>
          <w:spacing w:val="-2"/>
          <w:sz w:val="24"/>
          <w:szCs w:val="24"/>
          <w:lang w:eastAsia="pl-PL"/>
        </w:rPr>
      </w:pPr>
      <w:r w:rsidRPr="0069503F">
        <w:rPr>
          <w:rFonts w:ascii="Times New Roman" w:eastAsia="Times New Roman" w:hAnsi="Times New Roman"/>
          <w:color w:val="000000"/>
          <w:spacing w:val="-2"/>
          <w:sz w:val="24"/>
          <w:szCs w:val="24"/>
          <w:lang w:eastAsia="pl-PL"/>
        </w:rPr>
        <w:lastRenderedPageBreak/>
        <w:t>art. 3 ust. 1 – jednoznaczne rozróżnienie postępowań restrukturyzacyjnych z zakresu restrukturyzacji</w:t>
      </w:r>
      <w:r w:rsidRPr="0069503F">
        <w:rPr>
          <w:rFonts w:ascii="Times New Roman" w:hAnsi="Times New Roman"/>
          <w:sz w:val="24"/>
          <w:szCs w:val="24"/>
        </w:rPr>
        <w:t xml:space="preserve"> </w:t>
      </w:r>
      <w:r w:rsidRPr="0069503F">
        <w:rPr>
          <w:rFonts w:ascii="Times New Roman" w:eastAsia="Times New Roman" w:hAnsi="Times New Roman"/>
          <w:color w:val="000000"/>
          <w:spacing w:val="-2"/>
          <w:sz w:val="24"/>
          <w:szCs w:val="24"/>
          <w:lang w:eastAsia="pl-PL"/>
        </w:rPr>
        <w:t>zapobiegawczej (postępowanie o zatwierdzenie układu, przyspieszone postępowanie układowe, postępowanie układowe) od postępowania sanacyjnego, będącego postępowaniem o szczególnym charakterze;</w:t>
      </w:r>
    </w:p>
    <w:p w14:paraId="40ABEC2B" w14:textId="77777777" w:rsidR="00B73A98" w:rsidRDefault="00B73A98" w:rsidP="00B73A98">
      <w:pPr>
        <w:pStyle w:val="Akapitzlist"/>
        <w:numPr>
          <w:ilvl w:val="0"/>
          <w:numId w:val="29"/>
        </w:numPr>
        <w:spacing w:after="120" w:line="360" w:lineRule="auto"/>
        <w:ind w:left="700"/>
        <w:jc w:val="both"/>
        <w:rPr>
          <w:rFonts w:ascii="Times New Roman" w:eastAsia="Times New Roman" w:hAnsi="Times New Roman"/>
          <w:color w:val="000000"/>
          <w:spacing w:val="-2"/>
          <w:sz w:val="24"/>
          <w:szCs w:val="24"/>
          <w:lang w:eastAsia="pl-PL"/>
        </w:rPr>
      </w:pPr>
      <w:r w:rsidRPr="0069503F">
        <w:rPr>
          <w:rFonts w:ascii="Times New Roman" w:eastAsia="Times New Roman" w:hAnsi="Times New Roman"/>
          <w:color w:val="000000"/>
          <w:spacing w:val="-2"/>
          <w:sz w:val="24"/>
          <w:szCs w:val="24"/>
          <w:lang w:eastAsia="pl-PL"/>
        </w:rPr>
        <w:t>art. 8 ust. 1a – uściślenie negatywnej przesłanki otwarcia postępowania restrukturyzacyjnego w postaci pokrzywdzenia wierzycieli poprzez ustanowienie domniemania prawnego, stanowiącego, że otwarcie nowego postępowania restrukturyzacyjnego skutkuje pokrzywdzeniem wierzycieli, jeżeli dłużnik złożył ponowny wniosek przed upływem 3 miesięcy od dnia uprawomocnienia się postanowienia, którym sąd odmówił zatwierdzenia układu lub umorzył poprzednio toczące się postępowanie restrukturyzacyjne;</w:t>
      </w:r>
    </w:p>
    <w:p w14:paraId="1E900C2F" w14:textId="77777777" w:rsidR="00B73A98" w:rsidRDefault="00B73A98" w:rsidP="00B73A98">
      <w:pPr>
        <w:pStyle w:val="Akapitzlist"/>
        <w:numPr>
          <w:ilvl w:val="0"/>
          <w:numId w:val="29"/>
        </w:numPr>
        <w:spacing w:after="120" w:line="360" w:lineRule="auto"/>
        <w:ind w:left="700"/>
        <w:jc w:val="both"/>
        <w:rPr>
          <w:rFonts w:ascii="Times New Roman" w:eastAsia="Times New Roman" w:hAnsi="Times New Roman"/>
          <w:color w:val="000000"/>
          <w:spacing w:val="-2"/>
          <w:sz w:val="24"/>
          <w:szCs w:val="24"/>
          <w:lang w:eastAsia="pl-PL"/>
        </w:rPr>
      </w:pPr>
      <w:r w:rsidRPr="0069503F">
        <w:rPr>
          <w:rFonts w:ascii="Times New Roman" w:eastAsia="Times New Roman" w:hAnsi="Times New Roman"/>
          <w:color w:val="000000"/>
          <w:spacing w:val="-2"/>
          <w:sz w:val="24"/>
          <w:szCs w:val="24"/>
          <w:lang w:eastAsia="pl-PL"/>
        </w:rPr>
        <w:t xml:space="preserve">art. 25a – podkreślenie, że rolą nadzorcy lub zarządcy w postępowaniu restrukturyzacyjnym jest również pomoc dłużnikowi </w:t>
      </w:r>
      <w:r>
        <w:rPr>
          <w:rFonts w:ascii="Times New Roman" w:eastAsia="Times New Roman" w:hAnsi="Times New Roman"/>
          <w:color w:val="000000"/>
          <w:spacing w:val="-2"/>
          <w:sz w:val="24"/>
          <w:szCs w:val="24"/>
          <w:lang w:eastAsia="pl-PL"/>
        </w:rPr>
        <w:t xml:space="preserve">w negocjowaniu z </w:t>
      </w:r>
      <w:r w:rsidRPr="0069503F">
        <w:rPr>
          <w:rFonts w:ascii="Times New Roman" w:eastAsia="Times New Roman" w:hAnsi="Times New Roman"/>
          <w:color w:val="000000"/>
          <w:spacing w:val="-2"/>
          <w:sz w:val="24"/>
          <w:szCs w:val="24"/>
          <w:lang w:eastAsia="pl-PL"/>
        </w:rPr>
        <w:t xml:space="preserve">wierzycielami propozycji układowych, </w:t>
      </w:r>
      <w:r>
        <w:rPr>
          <w:rFonts w:ascii="Times New Roman" w:eastAsia="Times New Roman" w:hAnsi="Times New Roman"/>
          <w:color w:val="000000"/>
          <w:spacing w:val="-2"/>
          <w:sz w:val="24"/>
          <w:szCs w:val="24"/>
          <w:lang w:eastAsia="pl-PL"/>
        </w:rPr>
        <w:br/>
      </w:r>
      <w:r w:rsidRPr="0069503F">
        <w:rPr>
          <w:rFonts w:ascii="Times New Roman" w:eastAsia="Times New Roman" w:hAnsi="Times New Roman"/>
          <w:color w:val="000000"/>
          <w:spacing w:val="-2"/>
          <w:sz w:val="24"/>
          <w:szCs w:val="24"/>
          <w:lang w:eastAsia="pl-PL"/>
        </w:rPr>
        <w:t>a nie jedynie zarządzanie przedsiębiorstwem dłużnika w trakcie postępowania restrukturyzacyjnego;</w:t>
      </w:r>
    </w:p>
    <w:p w14:paraId="17302365" w14:textId="77777777" w:rsidR="00B73A98" w:rsidRDefault="00B73A98" w:rsidP="00B73A98">
      <w:pPr>
        <w:pStyle w:val="Akapitzlist"/>
        <w:numPr>
          <w:ilvl w:val="0"/>
          <w:numId w:val="29"/>
        </w:numPr>
        <w:spacing w:after="120" w:line="360" w:lineRule="auto"/>
        <w:ind w:left="700"/>
        <w:jc w:val="both"/>
        <w:rPr>
          <w:rFonts w:ascii="Times New Roman" w:eastAsia="Times New Roman" w:hAnsi="Times New Roman"/>
          <w:color w:val="000000"/>
          <w:spacing w:val="-2"/>
          <w:sz w:val="24"/>
          <w:szCs w:val="24"/>
          <w:lang w:eastAsia="pl-PL"/>
        </w:rPr>
      </w:pPr>
      <w:r w:rsidRPr="0069503F">
        <w:rPr>
          <w:rFonts w:ascii="Times New Roman" w:eastAsia="Times New Roman" w:hAnsi="Times New Roman"/>
          <w:color w:val="000000"/>
          <w:spacing w:val="-2"/>
          <w:sz w:val="24"/>
          <w:szCs w:val="24"/>
          <w:lang w:eastAsia="pl-PL"/>
        </w:rPr>
        <w:t>art. 39 ust. 1 – określenie, że ograniczenie zarządu dłużnika będzie mogło nastąpić wyłącznie na podstawie decyzji sądu zawartej w postanowieniu o otwarciu postepowania restrukturyzacyjnego;</w:t>
      </w:r>
    </w:p>
    <w:p w14:paraId="2CCA95A3" w14:textId="77777777" w:rsidR="00B73A98" w:rsidRDefault="00B73A98" w:rsidP="00B73A98">
      <w:pPr>
        <w:pStyle w:val="Akapitzlist"/>
        <w:numPr>
          <w:ilvl w:val="0"/>
          <w:numId w:val="29"/>
        </w:numPr>
        <w:spacing w:after="120" w:line="360" w:lineRule="auto"/>
        <w:ind w:left="700"/>
        <w:jc w:val="both"/>
        <w:rPr>
          <w:rFonts w:ascii="Times New Roman" w:eastAsia="Times New Roman" w:hAnsi="Times New Roman"/>
          <w:color w:val="000000"/>
          <w:spacing w:val="-2"/>
          <w:sz w:val="24"/>
          <w:szCs w:val="24"/>
          <w:lang w:eastAsia="pl-PL"/>
        </w:rPr>
      </w:pPr>
      <w:r w:rsidRPr="007329E8">
        <w:rPr>
          <w:rFonts w:ascii="Times New Roman" w:eastAsia="Times New Roman" w:hAnsi="Times New Roman"/>
          <w:color w:val="000000"/>
          <w:spacing w:val="-2"/>
          <w:sz w:val="24"/>
          <w:szCs w:val="24"/>
          <w:lang w:eastAsia="pl-PL"/>
        </w:rPr>
        <w:t>art. 119 ust. 3 – przyjęcie, że w przypadku braku w</w:t>
      </w:r>
      <w:r>
        <w:rPr>
          <w:rFonts w:ascii="Times New Roman" w:eastAsia="Times New Roman" w:hAnsi="Times New Roman"/>
          <w:color w:val="000000"/>
          <w:spacing w:val="-2"/>
          <w:sz w:val="24"/>
          <w:szCs w:val="24"/>
          <w:lang w:eastAsia="pl-PL"/>
        </w:rPr>
        <w:t xml:space="preserve">iększości do przyjęcia układu w </w:t>
      </w:r>
      <w:r w:rsidRPr="007329E8">
        <w:rPr>
          <w:rFonts w:ascii="Times New Roman" w:eastAsia="Times New Roman" w:hAnsi="Times New Roman"/>
          <w:color w:val="000000"/>
          <w:spacing w:val="-2"/>
          <w:sz w:val="24"/>
          <w:szCs w:val="24"/>
          <w:lang w:eastAsia="pl-PL"/>
        </w:rPr>
        <w:t>każdej grupie wierzycieli, układ będzie przyjęty na wniosek dłużnika lub za jego zgodą, jeśli większość grup wierzycieli głosowała za układem, w tym co najmniej jedna grupa wierzycieli zabezpieczonych rzeczowo lub wierzycieli o wyższym stopniu uprzywilejowania od wierzycieli kat. II z regulacji prawa upadłościowego;</w:t>
      </w:r>
    </w:p>
    <w:p w14:paraId="72DB4DAD" w14:textId="77777777" w:rsidR="00B73A98" w:rsidRDefault="00B73A98" w:rsidP="00B73A98">
      <w:pPr>
        <w:pStyle w:val="Akapitzlist"/>
        <w:numPr>
          <w:ilvl w:val="0"/>
          <w:numId w:val="29"/>
        </w:numPr>
        <w:spacing w:after="120" w:line="360" w:lineRule="auto"/>
        <w:ind w:left="700"/>
        <w:jc w:val="both"/>
        <w:rPr>
          <w:rFonts w:ascii="Times New Roman" w:eastAsia="Times New Roman" w:hAnsi="Times New Roman"/>
          <w:color w:val="000000"/>
          <w:spacing w:val="-2"/>
          <w:sz w:val="24"/>
          <w:szCs w:val="24"/>
          <w:lang w:eastAsia="pl-PL"/>
        </w:rPr>
      </w:pPr>
      <w:r w:rsidRPr="007329E8">
        <w:rPr>
          <w:rFonts w:ascii="Times New Roman" w:eastAsia="Times New Roman" w:hAnsi="Times New Roman"/>
          <w:color w:val="000000"/>
          <w:spacing w:val="-2"/>
          <w:sz w:val="24"/>
          <w:szCs w:val="24"/>
          <w:lang w:eastAsia="pl-PL"/>
        </w:rPr>
        <w:t xml:space="preserve">art. 151 – określenie, że wierzytelności zabezpieczonej na mieniu dłużnika hipoteką, zastawem, zastawem rejestrowym, zastawem skarbowym lub hipoteką morską </w:t>
      </w:r>
      <w:r>
        <w:rPr>
          <w:rFonts w:ascii="Times New Roman" w:eastAsia="Times New Roman" w:hAnsi="Times New Roman"/>
          <w:color w:val="000000"/>
          <w:spacing w:val="-2"/>
          <w:sz w:val="24"/>
          <w:szCs w:val="24"/>
          <w:lang w:eastAsia="pl-PL"/>
        </w:rPr>
        <w:t xml:space="preserve">są z </w:t>
      </w:r>
      <w:r w:rsidRPr="007329E8">
        <w:rPr>
          <w:rFonts w:ascii="Times New Roman" w:eastAsia="Times New Roman" w:hAnsi="Times New Roman"/>
          <w:color w:val="000000"/>
          <w:spacing w:val="-2"/>
          <w:sz w:val="24"/>
          <w:szCs w:val="24"/>
          <w:lang w:eastAsia="pl-PL"/>
        </w:rPr>
        <w:t>mocy prawa objęte układem;</w:t>
      </w:r>
    </w:p>
    <w:p w14:paraId="623FE047" w14:textId="77777777" w:rsidR="00B73A98" w:rsidRDefault="00B73A98" w:rsidP="00B73A98">
      <w:pPr>
        <w:pStyle w:val="Akapitzlist"/>
        <w:numPr>
          <w:ilvl w:val="0"/>
          <w:numId w:val="29"/>
        </w:numPr>
        <w:spacing w:after="120" w:line="360" w:lineRule="auto"/>
        <w:ind w:left="700"/>
        <w:jc w:val="both"/>
        <w:rPr>
          <w:rFonts w:ascii="Times New Roman" w:eastAsia="Times New Roman" w:hAnsi="Times New Roman"/>
          <w:color w:val="000000"/>
          <w:spacing w:val="-2"/>
          <w:sz w:val="24"/>
          <w:szCs w:val="24"/>
          <w:lang w:eastAsia="pl-PL"/>
        </w:rPr>
      </w:pPr>
      <w:r w:rsidRPr="007329E8">
        <w:rPr>
          <w:rFonts w:ascii="Times New Roman" w:eastAsia="Times New Roman" w:hAnsi="Times New Roman"/>
          <w:color w:val="000000"/>
          <w:spacing w:val="-2"/>
          <w:sz w:val="24"/>
          <w:szCs w:val="24"/>
          <w:lang w:eastAsia="pl-PL"/>
        </w:rPr>
        <w:t>art. 161a - przyjęcie propozycji układowych wbrew zgodzie tej kategorii wierzycieli nie będzie mogła wiązać się ze zmianą sposobu zaspokojenia, bez zgody tego podmiotu;</w:t>
      </w:r>
    </w:p>
    <w:p w14:paraId="478BFC81" w14:textId="77777777" w:rsidR="00B73A98" w:rsidRDefault="00B73A98" w:rsidP="00B73A98">
      <w:pPr>
        <w:pStyle w:val="Akapitzlist"/>
        <w:numPr>
          <w:ilvl w:val="0"/>
          <w:numId w:val="29"/>
        </w:numPr>
        <w:spacing w:after="120" w:line="360" w:lineRule="auto"/>
        <w:ind w:left="700"/>
        <w:jc w:val="both"/>
        <w:rPr>
          <w:rFonts w:ascii="Times New Roman" w:eastAsia="Times New Roman" w:hAnsi="Times New Roman"/>
          <w:color w:val="000000"/>
          <w:spacing w:val="-2"/>
          <w:sz w:val="24"/>
          <w:szCs w:val="24"/>
          <w:lang w:eastAsia="pl-PL"/>
        </w:rPr>
      </w:pPr>
      <w:r w:rsidRPr="007329E8">
        <w:rPr>
          <w:rFonts w:ascii="Times New Roman" w:eastAsia="Times New Roman" w:hAnsi="Times New Roman"/>
          <w:color w:val="000000"/>
          <w:spacing w:val="-2"/>
          <w:sz w:val="24"/>
          <w:szCs w:val="24"/>
          <w:lang w:eastAsia="pl-PL"/>
        </w:rPr>
        <w:t>art. 165 – wprowadzenie kryterium oceny stopnia pokrzywdzenia wierzyciela zgłaszającego zastrzeżenia, dla zaistnienia podstawy odmowy zatwierdzenia układu; przyznanie uprawnienia do wstrzymania wykonania postanowienia w przedmiocie zatwierdzenia układu, które zostało zaskarżone zażaleniem przez uczestnika postępowania, do czasu rozpoznania tego zażalenia;</w:t>
      </w:r>
    </w:p>
    <w:p w14:paraId="6062AC3D" w14:textId="77777777" w:rsidR="00B73A98" w:rsidRDefault="00B73A98" w:rsidP="00B73A98">
      <w:pPr>
        <w:pStyle w:val="Akapitzlist"/>
        <w:numPr>
          <w:ilvl w:val="0"/>
          <w:numId w:val="29"/>
        </w:numPr>
        <w:spacing w:after="120" w:line="360" w:lineRule="auto"/>
        <w:ind w:left="700"/>
        <w:jc w:val="both"/>
        <w:rPr>
          <w:rFonts w:ascii="Times New Roman" w:eastAsia="Times New Roman" w:hAnsi="Times New Roman"/>
          <w:color w:val="000000"/>
          <w:spacing w:val="-2"/>
          <w:sz w:val="24"/>
          <w:szCs w:val="24"/>
          <w:lang w:eastAsia="pl-PL"/>
        </w:rPr>
      </w:pPr>
      <w:r w:rsidRPr="007329E8">
        <w:rPr>
          <w:rFonts w:ascii="Times New Roman" w:eastAsia="Times New Roman" w:hAnsi="Times New Roman"/>
          <w:color w:val="000000"/>
          <w:spacing w:val="-2"/>
          <w:sz w:val="24"/>
          <w:szCs w:val="24"/>
          <w:lang w:eastAsia="pl-PL"/>
        </w:rPr>
        <w:t>art. 165a – uprawnienie sądu do dokonywania niewielkich zmian w treści układu;</w:t>
      </w:r>
    </w:p>
    <w:p w14:paraId="44769606" w14:textId="77777777" w:rsidR="00B73A98" w:rsidRDefault="00B73A98" w:rsidP="00B73A98">
      <w:pPr>
        <w:pStyle w:val="Akapitzlist"/>
        <w:numPr>
          <w:ilvl w:val="0"/>
          <w:numId w:val="29"/>
        </w:numPr>
        <w:spacing w:after="120" w:line="360" w:lineRule="auto"/>
        <w:ind w:left="700"/>
        <w:jc w:val="both"/>
        <w:rPr>
          <w:rFonts w:ascii="Times New Roman" w:eastAsia="Times New Roman" w:hAnsi="Times New Roman"/>
          <w:color w:val="000000"/>
          <w:spacing w:val="-2"/>
          <w:sz w:val="24"/>
          <w:szCs w:val="24"/>
          <w:lang w:eastAsia="pl-PL"/>
        </w:rPr>
      </w:pPr>
      <w:r w:rsidRPr="007329E8">
        <w:rPr>
          <w:rFonts w:ascii="Times New Roman" w:eastAsia="Times New Roman" w:hAnsi="Times New Roman"/>
          <w:color w:val="000000"/>
          <w:spacing w:val="-2"/>
          <w:sz w:val="24"/>
          <w:szCs w:val="24"/>
          <w:lang w:eastAsia="pl-PL"/>
        </w:rPr>
        <w:t>art. 168a – rozszerzenie zakresu ochrony dłużnika na okres od dnia zawarcia układu do dnia zakończenia postępowania restrukturyzacyjnego lub jego prawomocnego umorzenia;</w:t>
      </w:r>
    </w:p>
    <w:p w14:paraId="1466334F" w14:textId="77777777" w:rsidR="00B73A98" w:rsidRDefault="00B73A98" w:rsidP="00B73A98">
      <w:pPr>
        <w:pStyle w:val="Akapitzlist"/>
        <w:numPr>
          <w:ilvl w:val="0"/>
          <w:numId w:val="29"/>
        </w:numPr>
        <w:spacing w:after="120" w:line="360" w:lineRule="auto"/>
        <w:ind w:left="700"/>
        <w:jc w:val="both"/>
        <w:rPr>
          <w:rFonts w:ascii="Times New Roman" w:eastAsia="Times New Roman" w:hAnsi="Times New Roman"/>
          <w:color w:val="000000"/>
          <w:spacing w:val="-2"/>
          <w:sz w:val="24"/>
          <w:szCs w:val="24"/>
          <w:lang w:eastAsia="pl-PL"/>
        </w:rPr>
      </w:pPr>
      <w:r w:rsidRPr="007329E8">
        <w:rPr>
          <w:rFonts w:ascii="Times New Roman" w:eastAsia="Times New Roman" w:hAnsi="Times New Roman"/>
          <w:color w:val="000000"/>
          <w:spacing w:val="-2"/>
          <w:sz w:val="24"/>
          <w:szCs w:val="24"/>
          <w:lang w:eastAsia="pl-PL"/>
        </w:rPr>
        <w:lastRenderedPageBreak/>
        <w:t xml:space="preserve">art. 189a i art. 189b – przyznanie dłużnikom, którzy złożyli wniosek o otwarcie postępowania restrukturyzacyjnego, ochrony przed postępowaniem egzekucyjnym wszczętym przed dniem otwarcia postępowania restrukturyzacyjnego, jak również przed ewentualnym wszczęciem egzekucji w trakcie trwania postepowania restrukturyzacyjnego; przyznanie sędziemu-komisarzowi prawa do uchylenia pierwotnego zawieszenia postępowania egzekucyjnego (które będzie następować </w:t>
      </w:r>
      <w:r>
        <w:rPr>
          <w:rFonts w:ascii="Times New Roman" w:eastAsia="Times New Roman" w:hAnsi="Times New Roman"/>
          <w:i/>
          <w:color w:val="000000"/>
          <w:spacing w:val="-2"/>
          <w:sz w:val="24"/>
          <w:szCs w:val="24"/>
          <w:lang w:eastAsia="pl-PL"/>
        </w:rPr>
        <w:t xml:space="preserve">ex </w:t>
      </w:r>
      <w:r w:rsidRPr="007329E8">
        <w:rPr>
          <w:rFonts w:ascii="Times New Roman" w:eastAsia="Times New Roman" w:hAnsi="Times New Roman"/>
          <w:i/>
          <w:color w:val="000000"/>
          <w:spacing w:val="-2"/>
          <w:sz w:val="24"/>
          <w:szCs w:val="24"/>
          <w:lang w:eastAsia="pl-PL"/>
        </w:rPr>
        <w:t>lege</w:t>
      </w:r>
      <w:r w:rsidRPr="007329E8">
        <w:rPr>
          <w:rFonts w:ascii="Times New Roman" w:eastAsia="Times New Roman" w:hAnsi="Times New Roman"/>
          <w:color w:val="000000"/>
          <w:spacing w:val="-2"/>
          <w:sz w:val="24"/>
          <w:szCs w:val="24"/>
          <w:lang w:eastAsia="pl-PL"/>
        </w:rPr>
        <w:t xml:space="preserve"> z chwilą otwarcia postępowania restrukturyzacyjnego) w sytuacji, gdy zawieszenie takie skutkowałoby rażącym pokrzywdzeniem przynajmniej jednego wierzyciela, gdy istnieje uzasadnione przypuszczenie, że na zgromadzeniu wierzycieli nie zostanie podjęta uchwała o przyjęciu układu lub gdy z </w:t>
      </w:r>
      <w:r>
        <w:rPr>
          <w:rFonts w:ascii="Times New Roman" w:eastAsia="Times New Roman" w:hAnsi="Times New Roman"/>
          <w:color w:val="000000"/>
          <w:spacing w:val="-2"/>
          <w:sz w:val="24"/>
          <w:szCs w:val="24"/>
          <w:lang w:eastAsia="pl-PL"/>
        </w:rPr>
        <w:t xml:space="preserve">wnioskiem o </w:t>
      </w:r>
      <w:r w:rsidRPr="007329E8">
        <w:rPr>
          <w:rFonts w:ascii="Times New Roman" w:eastAsia="Times New Roman" w:hAnsi="Times New Roman"/>
          <w:color w:val="000000"/>
          <w:spacing w:val="-2"/>
          <w:sz w:val="24"/>
          <w:szCs w:val="24"/>
          <w:lang w:eastAsia="pl-PL"/>
        </w:rPr>
        <w:t>takie uchylenie wystąpi sam dłużnik lub nadzorca sądowy;</w:t>
      </w:r>
    </w:p>
    <w:p w14:paraId="2FCB09FC" w14:textId="77777777" w:rsidR="00B73A98" w:rsidRPr="007329E8" w:rsidRDefault="00B73A98" w:rsidP="00B73A98">
      <w:pPr>
        <w:pStyle w:val="Akapitzlist"/>
        <w:numPr>
          <w:ilvl w:val="0"/>
          <w:numId w:val="29"/>
        </w:numPr>
        <w:spacing w:after="0" w:line="360" w:lineRule="auto"/>
        <w:ind w:left="700"/>
        <w:jc w:val="both"/>
        <w:rPr>
          <w:rFonts w:ascii="Times New Roman" w:eastAsia="Times New Roman" w:hAnsi="Times New Roman"/>
          <w:color w:val="000000"/>
          <w:spacing w:val="-2"/>
          <w:sz w:val="24"/>
          <w:szCs w:val="24"/>
          <w:lang w:eastAsia="pl-PL"/>
        </w:rPr>
      </w:pPr>
      <w:r w:rsidRPr="007329E8">
        <w:rPr>
          <w:rFonts w:ascii="Times New Roman" w:eastAsia="Times New Roman" w:hAnsi="Times New Roman"/>
          <w:color w:val="000000"/>
          <w:spacing w:val="-2"/>
          <w:sz w:val="24"/>
          <w:szCs w:val="24"/>
          <w:lang w:eastAsia="pl-PL"/>
        </w:rPr>
        <w:t>art. 196 – rozszerzenie kat</w:t>
      </w:r>
      <w:r>
        <w:rPr>
          <w:rFonts w:ascii="Times New Roman" w:eastAsia="Times New Roman" w:hAnsi="Times New Roman"/>
          <w:color w:val="000000"/>
          <w:spacing w:val="-2"/>
          <w:sz w:val="24"/>
          <w:szCs w:val="24"/>
          <w:lang w:eastAsia="pl-PL"/>
        </w:rPr>
        <w:t xml:space="preserve">alogu wyjątków od istniejącego </w:t>
      </w:r>
      <w:r w:rsidRPr="007329E8">
        <w:rPr>
          <w:rFonts w:ascii="Times New Roman" w:eastAsia="Times New Roman" w:hAnsi="Times New Roman"/>
          <w:color w:val="000000"/>
          <w:spacing w:val="-2"/>
          <w:sz w:val="24"/>
          <w:szCs w:val="24"/>
          <w:lang w:eastAsia="pl-PL"/>
        </w:rPr>
        <w:t>w postępowaniu restrukturyzacyjnym ograniczenia dowodowego w postaci zakazu przeprowadzania dowodu z opinii biegłego.</w:t>
      </w:r>
    </w:p>
    <w:p w14:paraId="1B4AC970" w14:textId="77777777" w:rsidR="00B73A98" w:rsidRPr="0069503F" w:rsidRDefault="00B73A98" w:rsidP="00B73A98">
      <w:pPr>
        <w:spacing w:line="360" w:lineRule="auto"/>
        <w:jc w:val="both"/>
      </w:pPr>
      <w:r w:rsidRPr="0069503F">
        <w:t xml:space="preserve">Natomiast zmiany w </w:t>
      </w:r>
      <w:r w:rsidRPr="0069503F">
        <w:rPr>
          <w:i/>
        </w:rPr>
        <w:t>ustawie z dnia 28 lutego 2003 r. – Prawo upadłościowe</w:t>
      </w:r>
      <w:r w:rsidRPr="0069503F">
        <w:t xml:space="preserve"> obejmują:</w:t>
      </w:r>
    </w:p>
    <w:p w14:paraId="1F1E8CB4" w14:textId="77777777" w:rsidR="00B73A98" w:rsidRPr="0069503F" w:rsidRDefault="00B73A98" w:rsidP="00B73A98">
      <w:pPr>
        <w:pStyle w:val="Akapitzlist"/>
        <w:numPr>
          <w:ilvl w:val="0"/>
          <w:numId w:val="30"/>
        </w:numPr>
        <w:spacing w:after="0" w:line="360" w:lineRule="auto"/>
        <w:jc w:val="both"/>
        <w:rPr>
          <w:rFonts w:ascii="Times New Roman" w:eastAsia="Times New Roman" w:hAnsi="Times New Roman"/>
          <w:sz w:val="24"/>
          <w:szCs w:val="24"/>
          <w:lang w:eastAsia="pl-PL"/>
        </w:rPr>
      </w:pPr>
      <w:r w:rsidRPr="0069503F">
        <w:rPr>
          <w:rFonts w:ascii="Times New Roman" w:eastAsia="Times New Roman" w:hAnsi="Times New Roman"/>
          <w:sz w:val="24"/>
          <w:szCs w:val="24"/>
          <w:lang w:eastAsia="pl-PL"/>
        </w:rPr>
        <w:t>art. 84a – zagwarantowanie, że finansowanie, które zostało udzielone dłużnikowi w trakcie uprzednio toczącego się postępowania restrukturyzacyjnego i mające na celu realizację planu restrukturyzacyjnego, nie może być uznane za bezskuteczne w stosunku do masy upadłości, jeżeli było uwzględnione w tym planie, a następnie zostało udzielone za zgodą rady wierzycieli lub sędziego-komisarza;</w:t>
      </w:r>
    </w:p>
    <w:p w14:paraId="7208A603" w14:textId="77777777" w:rsidR="00B73A98" w:rsidRPr="007329E8" w:rsidRDefault="00B73A98" w:rsidP="00B73A98">
      <w:pPr>
        <w:pStyle w:val="Akapitzlist"/>
        <w:numPr>
          <w:ilvl w:val="0"/>
          <w:numId w:val="30"/>
        </w:numPr>
        <w:spacing w:after="120" w:line="360" w:lineRule="auto"/>
        <w:jc w:val="both"/>
        <w:rPr>
          <w:rFonts w:ascii="Times New Roman" w:eastAsia="Times New Roman" w:hAnsi="Times New Roman"/>
          <w:sz w:val="24"/>
          <w:szCs w:val="24"/>
          <w:lang w:eastAsia="pl-PL"/>
        </w:rPr>
      </w:pPr>
      <w:r w:rsidRPr="0069503F">
        <w:rPr>
          <w:rFonts w:ascii="Times New Roman" w:eastAsia="Times New Roman" w:hAnsi="Times New Roman"/>
          <w:sz w:val="24"/>
          <w:szCs w:val="24"/>
          <w:lang w:eastAsia="pl-PL"/>
        </w:rPr>
        <w:t>art. 129a – zapewnienie ochrony transakcjom związanym z procesem restrukturyzacji.</w:t>
      </w:r>
    </w:p>
    <w:p w14:paraId="50D5AC03" w14:textId="77777777" w:rsidR="00B73A98" w:rsidRDefault="00B73A98" w:rsidP="00B73A98">
      <w:pPr>
        <w:pStyle w:val="Akapitzlist"/>
        <w:numPr>
          <w:ilvl w:val="0"/>
          <w:numId w:val="1"/>
        </w:numPr>
        <w:spacing w:after="120" w:line="360" w:lineRule="auto"/>
        <w:ind w:left="357" w:hanging="357"/>
        <w:contextualSpacing w:val="0"/>
        <w:jc w:val="both"/>
        <w:rPr>
          <w:rFonts w:ascii="Times New Roman" w:hAnsi="Times New Roman"/>
          <w:b/>
          <w:sz w:val="24"/>
          <w:szCs w:val="24"/>
        </w:rPr>
      </w:pPr>
      <w:r w:rsidRPr="0069503F">
        <w:rPr>
          <w:rFonts w:ascii="Times New Roman" w:hAnsi="Times New Roman"/>
          <w:b/>
          <w:sz w:val="24"/>
          <w:szCs w:val="24"/>
        </w:rPr>
        <w:t>Ocena projektowanych rozwiązań</w:t>
      </w:r>
    </w:p>
    <w:p w14:paraId="3034D0B9" w14:textId="77777777" w:rsidR="00B73A98" w:rsidRDefault="00B73A98" w:rsidP="00B73A98">
      <w:pPr>
        <w:pStyle w:val="Akapitzlist"/>
        <w:spacing w:after="0" w:line="360" w:lineRule="auto"/>
        <w:ind w:left="0"/>
        <w:contextualSpacing w:val="0"/>
        <w:jc w:val="both"/>
        <w:rPr>
          <w:rFonts w:ascii="Times New Roman" w:hAnsi="Times New Roman"/>
          <w:sz w:val="24"/>
          <w:szCs w:val="24"/>
        </w:rPr>
      </w:pPr>
      <w:r w:rsidRPr="007329E8">
        <w:rPr>
          <w:rFonts w:ascii="Times New Roman" w:hAnsi="Times New Roman"/>
          <w:sz w:val="24"/>
          <w:szCs w:val="24"/>
        </w:rPr>
        <w:t xml:space="preserve">Projekt ustawy implementuje dyrektywę 2017/1132, a jego uzasadnienie co do zasady szczegółowo omawia projektowane zmiany. </w:t>
      </w:r>
      <w:r w:rsidRPr="007329E8">
        <w:rPr>
          <w:rFonts w:ascii="Times New Roman" w:hAnsi="Times New Roman"/>
          <w:b/>
          <w:sz w:val="24"/>
          <w:szCs w:val="24"/>
        </w:rPr>
        <w:t>Pewne wątpliwości powstają w zakresie projektowanego art. 8 ust. 1a ustawy – Prawo restrukturyzacyjne</w:t>
      </w:r>
      <w:r w:rsidRPr="007329E8">
        <w:rPr>
          <w:rFonts w:ascii="Times New Roman" w:hAnsi="Times New Roman"/>
          <w:sz w:val="24"/>
          <w:szCs w:val="24"/>
        </w:rPr>
        <w:t xml:space="preserve">, który wprowadza domniemanie, zgodnie z którym </w:t>
      </w:r>
      <w:r w:rsidRPr="0069503F">
        <w:rPr>
          <w:rFonts w:ascii="Times New Roman" w:hAnsi="Times New Roman"/>
          <w:sz w:val="24"/>
          <w:szCs w:val="24"/>
        </w:rPr>
        <w:t xml:space="preserve">skutkiem nowego postępowania jest pokrzywdzenie wierzycieli, jeżeli ponowny wniosek został złożony w terminie 3 miesięcy od uprawomocnienia się postanowienia o umorzeniu postępowania restrukturyzacyjnego lub postanowienia o odmowie zatwierdzenia układu. Pojawia się bowiem pytanie, dlaczego w ww. przepisie zaproponowano termin 3-miesięczny, w szczególności czy nie jest on zbyt krótki i czy nie będzie prowadził </w:t>
      </w:r>
      <w:r>
        <w:rPr>
          <w:rFonts w:ascii="Times New Roman" w:hAnsi="Times New Roman"/>
          <w:sz w:val="24"/>
          <w:szCs w:val="24"/>
        </w:rPr>
        <w:br/>
      </w:r>
      <w:r w:rsidRPr="0069503F">
        <w:rPr>
          <w:rFonts w:ascii="Times New Roman" w:hAnsi="Times New Roman"/>
          <w:sz w:val="24"/>
          <w:szCs w:val="24"/>
        </w:rPr>
        <w:t>do ograniczenia sądu w możliwości kwalifikowania niektórych ponownych wniosków jako skutkujących pokrzywdzeniem wierzycieli.</w:t>
      </w:r>
    </w:p>
    <w:p w14:paraId="753816AE" w14:textId="77777777" w:rsidR="00B73A98" w:rsidRDefault="00B73A98" w:rsidP="00B73A98">
      <w:pPr>
        <w:pStyle w:val="Akapitzlist"/>
        <w:spacing w:after="0" w:line="360" w:lineRule="auto"/>
        <w:ind w:left="0"/>
        <w:contextualSpacing w:val="0"/>
        <w:jc w:val="both"/>
        <w:rPr>
          <w:rFonts w:ascii="Times New Roman" w:hAnsi="Times New Roman"/>
          <w:sz w:val="24"/>
          <w:szCs w:val="24"/>
        </w:rPr>
      </w:pPr>
      <w:r w:rsidRPr="0069503F">
        <w:rPr>
          <w:rFonts w:ascii="Times New Roman" w:hAnsi="Times New Roman"/>
          <w:sz w:val="24"/>
          <w:szCs w:val="24"/>
        </w:rPr>
        <w:t>Ocena skutków regulacji wystarczająco przedstawia logikę interwencji – w szczególności proponowane rozwiązania na tle wymogów prawa UE. Projekt bezpośrednio oddziałuje na sądy rozpatrujące sprawy upadłościowe i restrukturyzacyjne (30), dłużników i wierzycieli (284 tys. firm) oraz nadzorców lub zarządców w postępowaniach restrukturyzacyjnych (1,5 tys.). Z</w:t>
      </w:r>
      <w:r>
        <w:rPr>
          <w:rFonts w:ascii="Times New Roman" w:hAnsi="Times New Roman"/>
          <w:sz w:val="24"/>
          <w:szCs w:val="24"/>
        </w:rPr>
        <w:t xml:space="preserve">daniem </w:t>
      </w:r>
      <w:r>
        <w:rPr>
          <w:rFonts w:ascii="Times New Roman" w:hAnsi="Times New Roman"/>
          <w:sz w:val="24"/>
          <w:szCs w:val="24"/>
        </w:rPr>
        <w:lastRenderedPageBreak/>
        <w:t>W</w:t>
      </w:r>
      <w:r w:rsidRPr="0069503F">
        <w:rPr>
          <w:rFonts w:ascii="Times New Roman" w:hAnsi="Times New Roman"/>
          <w:sz w:val="24"/>
          <w:szCs w:val="24"/>
        </w:rPr>
        <w:t>nioskodawcy projekt nie niesie skutków dla sektora finansów publicznych. Ułatwiony zostanie dostęp przedsiębiorców do postępowania restrukturyzacyjnego, umożliwiającego kontynuację działalności w trudnej sytuacji finansowej. Zapewniona zostan</w:t>
      </w:r>
      <w:r>
        <w:rPr>
          <w:rFonts w:ascii="Times New Roman" w:hAnsi="Times New Roman"/>
          <w:sz w:val="24"/>
          <w:szCs w:val="24"/>
        </w:rPr>
        <w:t xml:space="preserve">ie im ochrona przed egzekucją </w:t>
      </w:r>
      <w:r>
        <w:rPr>
          <w:rFonts w:ascii="Times New Roman" w:hAnsi="Times New Roman"/>
          <w:sz w:val="24"/>
          <w:szCs w:val="24"/>
        </w:rPr>
        <w:br/>
        <w:t xml:space="preserve">w </w:t>
      </w:r>
      <w:r w:rsidRPr="0069503F">
        <w:rPr>
          <w:rFonts w:ascii="Times New Roman" w:hAnsi="Times New Roman"/>
          <w:sz w:val="24"/>
          <w:szCs w:val="24"/>
        </w:rPr>
        <w:t xml:space="preserve">okresie między przyjęciem układu a zakończeniem postępowania restrukturyzacyjnego. Jednocześnie zostaną nałożone dodatkowe obowiązki informacyjne (m.in. 3 wyceny: na dzień przygotowania planu restrukturyzacyjnego, na dzień jego realizacji oraz w przypadku przeprowadzenia postępowania upadłościowego) w celu umożliwienia wierzycielom oceny korzyści wynikających ze zgody na zawarcie układu oraz wniesienia ewentualnych zastrzeżeń </w:t>
      </w:r>
      <w:r>
        <w:rPr>
          <w:rFonts w:ascii="Times New Roman" w:hAnsi="Times New Roman"/>
          <w:sz w:val="24"/>
          <w:szCs w:val="24"/>
        </w:rPr>
        <w:br/>
      </w:r>
      <w:r w:rsidRPr="0069503F">
        <w:rPr>
          <w:rFonts w:ascii="Times New Roman" w:hAnsi="Times New Roman"/>
          <w:sz w:val="24"/>
          <w:szCs w:val="24"/>
        </w:rPr>
        <w:t>do wycen. Nie przedstawiono wpływu proponowanych zmian (m.in. w zakresie zabezpieczenia operacji finansowych i umów) na wolę finansowania podmiotów gospodarczych przez instytucje finansowe oraz koszt tego finansowania.</w:t>
      </w:r>
    </w:p>
    <w:p w14:paraId="03CB0A60" w14:textId="77777777" w:rsidR="00B73A98" w:rsidRDefault="00B73A98" w:rsidP="00B73A98">
      <w:pPr>
        <w:pStyle w:val="Akapitzlist"/>
        <w:spacing w:after="0" w:line="360" w:lineRule="auto"/>
        <w:ind w:left="0"/>
        <w:contextualSpacing w:val="0"/>
        <w:jc w:val="both"/>
        <w:rPr>
          <w:rFonts w:ascii="Times New Roman" w:hAnsi="Times New Roman"/>
          <w:b/>
          <w:sz w:val="24"/>
          <w:szCs w:val="24"/>
        </w:rPr>
      </w:pPr>
      <w:r w:rsidRPr="0069503F">
        <w:rPr>
          <w:rFonts w:ascii="Times New Roman" w:hAnsi="Times New Roman"/>
          <w:sz w:val="24"/>
          <w:szCs w:val="24"/>
        </w:rPr>
        <w:t>Nie omówiono wpływu proponowanych zmian na efektywność funkcjonowania (m.in. czas trwania postepowań) oraz obciążenie pracą sądów powszechnych.</w:t>
      </w:r>
    </w:p>
    <w:p w14:paraId="1F59AD6A" w14:textId="77777777" w:rsidR="00B73A98" w:rsidRPr="0069503F" w:rsidRDefault="00B73A98" w:rsidP="00B73A98">
      <w:pPr>
        <w:pStyle w:val="Akapitzlist"/>
        <w:spacing w:after="0" w:line="360" w:lineRule="auto"/>
        <w:ind w:left="0"/>
        <w:contextualSpacing w:val="0"/>
        <w:jc w:val="both"/>
        <w:rPr>
          <w:rFonts w:ascii="Times New Roman" w:hAnsi="Times New Roman"/>
          <w:b/>
          <w:sz w:val="24"/>
          <w:szCs w:val="24"/>
        </w:rPr>
      </w:pPr>
      <w:r w:rsidRPr="0069503F">
        <w:rPr>
          <w:rFonts w:ascii="Times New Roman" w:hAnsi="Times New Roman"/>
          <w:sz w:val="24"/>
          <w:szCs w:val="24"/>
        </w:rPr>
        <w:t xml:space="preserve">Wnioskodawca planuje wyłącznie ograniczone konsultacje publiczne – umieszczenie projektu </w:t>
      </w:r>
      <w:r>
        <w:rPr>
          <w:rFonts w:ascii="Times New Roman" w:hAnsi="Times New Roman"/>
          <w:sz w:val="24"/>
          <w:szCs w:val="24"/>
        </w:rPr>
        <w:br/>
      </w:r>
      <w:r w:rsidRPr="0069503F">
        <w:rPr>
          <w:rFonts w:ascii="Times New Roman" w:hAnsi="Times New Roman"/>
          <w:sz w:val="24"/>
          <w:szCs w:val="24"/>
        </w:rPr>
        <w:t>w portalu RCL, nie wskazał również planowanego czasu ich trwania. Nie jest przewidziana ewaluacja projektu.</w:t>
      </w:r>
    </w:p>
    <w:p w14:paraId="4E5E7940" w14:textId="77777777" w:rsidR="00B73A98" w:rsidRPr="0069503F" w:rsidRDefault="00B73A98" w:rsidP="00B73A98">
      <w:pPr>
        <w:numPr>
          <w:ilvl w:val="0"/>
          <w:numId w:val="1"/>
        </w:numPr>
        <w:spacing w:after="120" w:line="360" w:lineRule="auto"/>
        <w:jc w:val="both"/>
        <w:rPr>
          <w:b/>
        </w:rPr>
      </w:pPr>
      <w:r w:rsidRPr="0069503F">
        <w:rPr>
          <w:b/>
        </w:rPr>
        <w:t>Rządowe Centrum Analiz zgłasza następujące zastrzeżenia do projektu:</w:t>
      </w:r>
    </w:p>
    <w:p w14:paraId="195E5981" w14:textId="77777777" w:rsidR="00B73A98" w:rsidRPr="0069503F" w:rsidRDefault="00B73A98" w:rsidP="00B73A98">
      <w:pPr>
        <w:pStyle w:val="Akapitzlist"/>
        <w:numPr>
          <w:ilvl w:val="0"/>
          <w:numId w:val="28"/>
        </w:numPr>
        <w:spacing w:after="120" w:line="360" w:lineRule="auto"/>
        <w:jc w:val="both"/>
        <w:rPr>
          <w:rFonts w:ascii="Times New Roman" w:hAnsi="Times New Roman"/>
          <w:sz w:val="24"/>
          <w:szCs w:val="24"/>
        </w:rPr>
      </w:pPr>
      <w:r w:rsidRPr="0069503F">
        <w:rPr>
          <w:rFonts w:ascii="Times New Roman" w:hAnsi="Times New Roman"/>
          <w:sz w:val="24"/>
          <w:szCs w:val="24"/>
        </w:rPr>
        <w:t xml:space="preserve">Zasadne jest szersze uzasadnienie proponowanego art. 8 ust. 1a </w:t>
      </w:r>
      <w:r w:rsidRPr="0069503F">
        <w:rPr>
          <w:rFonts w:ascii="Times New Roman" w:hAnsi="Times New Roman"/>
          <w:i/>
          <w:sz w:val="24"/>
          <w:szCs w:val="24"/>
        </w:rPr>
        <w:t>ustawy – Prawo restrukturyzacyjne</w:t>
      </w:r>
      <w:r w:rsidRPr="0069503F">
        <w:rPr>
          <w:rFonts w:ascii="Times New Roman" w:hAnsi="Times New Roman"/>
          <w:sz w:val="24"/>
          <w:szCs w:val="24"/>
        </w:rPr>
        <w:t xml:space="preserve">. Nie jest bowiem jasne, dlaczego przyjęto, że złożenie ponownego wniosku o otwarcie postępowania restrukturyzacyjnego jedynie w terminie 3 miesięcy </w:t>
      </w:r>
      <w:r>
        <w:rPr>
          <w:rFonts w:ascii="Times New Roman" w:hAnsi="Times New Roman"/>
          <w:sz w:val="24"/>
          <w:szCs w:val="24"/>
        </w:rPr>
        <w:br/>
      </w:r>
      <w:r w:rsidRPr="0069503F">
        <w:rPr>
          <w:rFonts w:ascii="Times New Roman" w:hAnsi="Times New Roman"/>
          <w:sz w:val="24"/>
          <w:szCs w:val="24"/>
        </w:rPr>
        <w:t xml:space="preserve">od uprawomocnienia się postanowienia o umorzeniu postępowania restrukturyzacyjnego lub postanowienia o odmowie zatwierdzenia układu obejmuje domniemanie, zgodnie </w:t>
      </w:r>
      <w:r>
        <w:rPr>
          <w:rFonts w:ascii="Times New Roman" w:hAnsi="Times New Roman"/>
          <w:sz w:val="24"/>
          <w:szCs w:val="24"/>
        </w:rPr>
        <w:br/>
      </w:r>
      <w:r w:rsidRPr="0069503F">
        <w:rPr>
          <w:rFonts w:ascii="Times New Roman" w:hAnsi="Times New Roman"/>
          <w:sz w:val="24"/>
          <w:szCs w:val="24"/>
        </w:rPr>
        <w:t>z którym skutkiem nowego postępowania byłoby pokrzywdzenie wierzycieli.</w:t>
      </w:r>
    </w:p>
    <w:p w14:paraId="539C67C1" w14:textId="77777777" w:rsidR="00B73A98" w:rsidRPr="0069503F" w:rsidRDefault="00B73A98" w:rsidP="00B73A98">
      <w:pPr>
        <w:pStyle w:val="Akapitzlist"/>
        <w:numPr>
          <w:ilvl w:val="0"/>
          <w:numId w:val="28"/>
        </w:numPr>
        <w:spacing w:after="120" w:line="360" w:lineRule="auto"/>
        <w:jc w:val="both"/>
        <w:rPr>
          <w:rFonts w:ascii="Times New Roman" w:hAnsi="Times New Roman"/>
          <w:sz w:val="24"/>
          <w:szCs w:val="24"/>
        </w:rPr>
      </w:pPr>
      <w:r w:rsidRPr="0069503F">
        <w:rPr>
          <w:rFonts w:ascii="Times New Roman" w:hAnsi="Times New Roman"/>
          <w:sz w:val="24"/>
          <w:szCs w:val="24"/>
        </w:rPr>
        <w:t xml:space="preserve">Zasadne jest omówienie wpływu proponowanych rozwiązań na wolę udzielenia oraz koszt finansowania podmiotom gospodarczym m.in. przez instytucje finansowe w związku </w:t>
      </w:r>
      <w:r>
        <w:rPr>
          <w:rFonts w:ascii="Times New Roman" w:hAnsi="Times New Roman"/>
          <w:sz w:val="24"/>
          <w:szCs w:val="24"/>
        </w:rPr>
        <w:br/>
      </w:r>
      <w:r w:rsidRPr="0069503F">
        <w:rPr>
          <w:rFonts w:ascii="Times New Roman" w:hAnsi="Times New Roman"/>
          <w:sz w:val="24"/>
          <w:szCs w:val="24"/>
        </w:rPr>
        <w:t xml:space="preserve">ze zniesieniem wyłączenia z ewentualnego układu wierzytelności zabezpieczonych </w:t>
      </w:r>
      <w:r>
        <w:rPr>
          <w:rFonts w:ascii="Times New Roman" w:hAnsi="Times New Roman"/>
          <w:sz w:val="24"/>
          <w:szCs w:val="24"/>
        </w:rPr>
        <w:br/>
      </w:r>
      <w:r w:rsidRPr="0069503F">
        <w:rPr>
          <w:rFonts w:ascii="Times New Roman" w:hAnsi="Times New Roman"/>
          <w:sz w:val="24"/>
          <w:szCs w:val="24"/>
        </w:rPr>
        <w:t xml:space="preserve">na mieniu dłużnika hipoteką, zastawem, zastawem rejestrowym, zastawem skarbowym lub hipoteką morską oraz przeniesieniem własności (pkt 7 OSR). Omówiony powinien zostać również analogiczny wpływ w związku z wprowadzeniem ochrony nowego oraz przejściowego finansowania dłużnika, a także płatności </w:t>
      </w:r>
      <w:r>
        <w:rPr>
          <w:rFonts w:ascii="Times New Roman" w:hAnsi="Times New Roman"/>
          <w:sz w:val="24"/>
          <w:szCs w:val="24"/>
        </w:rPr>
        <w:t xml:space="preserve">związanych z operacjami </w:t>
      </w:r>
      <w:r>
        <w:rPr>
          <w:rFonts w:ascii="Times New Roman" w:hAnsi="Times New Roman"/>
          <w:sz w:val="24"/>
          <w:szCs w:val="24"/>
        </w:rPr>
        <w:br/>
        <w:t xml:space="preserve">i umowami w </w:t>
      </w:r>
      <w:r w:rsidRPr="0069503F">
        <w:rPr>
          <w:rFonts w:ascii="Times New Roman" w:hAnsi="Times New Roman"/>
          <w:sz w:val="24"/>
          <w:szCs w:val="24"/>
        </w:rPr>
        <w:t>postępowaniu restrukturyzacyjnym.</w:t>
      </w:r>
    </w:p>
    <w:p w14:paraId="3245324D" w14:textId="77777777" w:rsidR="00B73A98" w:rsidRPr="0069503F" w:rsidRDefault="00B73A98" w:rsidP="00B73A98">
      <w:pPr>
        <w:pStyle w:val="Akapitzlist"/>
        <w:numPr>
          <w:ilvl w:val="0"/>
          <w:numId w:val="28"/>
        </w:numPr>
        <w:spacing w:after="120" w:line="360" w:lineRule="auto"/>
        <w:jc w:val="both"/>
        <w:rPr>
          <w:rFonts w:ascii="Times New Roman" w:hAnsi="Times New Roman"/>
          <w:sz w:val="24"/>
          <w:szCs w:val="24"/>
        </w:rPr>
      </w:pPr>
      <w:r w:rsidRPr="0069503F">
        <w:rPr>
          <w:rFonts w:ascii="Times New Roman" w:hAnsi="Times New Roman"/>
          <w:sz w:val="24"/>
          <w:szCs w:val="24"/>
        </w:rPr>
        <w:t>Konieczne jest przedstawienie wpływu proponowanej regulacji na funkcjonowanie sądownictwa powszechnego w zakresie efektywności postepowań restrukturyzacyjnych (m.in. czasu ich trwania) oraz obciążenia pracą (pkt 4, 6, 10).</w:t>
      </w:r>
    </w:p>
    <w:p w14:paraId="23A78FFD" w14:textId="77777777" w:rsidR="00B73A98" w:rsidRPr="0069503F" w:rsidRDefault="00B73A98" w:rsidP="00B73A98">
      <w:pPr>
        <w:pStyle w:val="Akapitzlist"/>
        <w:numPr>
          <w:ilvl w:val="0"/>
          <w:numId w:val="28"/>
        </w:numPr>
        <w:spacing w:after="120" w:line="360" w:lineRule="auto"/>
        <w:jc w:val="both"/>
        <w:rPr>
          <w:rFonts w:ascii="Times New Roman" w:hAnsi="Times New Roman"/>
          <w:sz w:val="24"/>
          <w:szCs w:val="24"/>
        </w:rPr>
      </w:pPr>
      <w:r w:rsidRPr="0069503F">
        <w:rPr>
          <w:rFonts w:ascii="Times New Roman" w:hAnsi="Times New Roman"/>
          <w:sz w:val="24"/>
          <w:szCs w:val="24"/>
        </w:rPr>
        <w:lastRenderedPageBreak/>
        <w:t>Rekomendowane jest przeprowadzenie konsultacji publicznych z przedstawicielami instytucji finansowych oraz przedsiębiorców, a także wskazanie planowanego czasu ich trwania (pkt 5 OSR).</w:t>
      </w:r>
    </w:p>
    <w:p w14:paraId="6E4B927B" w14:textId="77777777" w:rsidR="00B73A98" w:rsidRPr="0069503F" w:rsidRDefault="00B73A98" w:rsidP="00B73A98">
      <w:pPr>
        <w:pStyle w:val="Akapitzlist"/>
        <w:numPr>
          <w:ilvl w:val="0"/>
          <w:numId w:val="28"/>
        </w:numPr>
        <w:spacing w:after="120" w:line="360" w:lineRule="auto"/>
        <w:jc w:val="both"/>
        <w:rPr>
          <w:rFonts w:ascii="Times New Roman" w:hAnsi="Times New Roman"/>
          <w:sz w:val="24"/>
          <w:szCs w:val="24"/>
        </w:rPr>
      </w:pPr>
      <w:r w:rsidRPr="0069503F">
        <w:rPr>
          <w:rFonts w:ascii="Times New Roman" w:hAnsi="Times New Roman"/>
          <w:sz w:val="24"/>
          <w:szCs w:val="24"/>
        </w:rPr>
        <w:t>Wskazane jest również przedstawienie informacji, czy planowana jest ewaluacja Dyrektywy Parlamentu Europejskiego i Rady (UE) 2019/1023 z dnia 20 czerwca 2019 r. w sprawie ram restrukturyzacji zapobiegawczej, umorzenia długów i zakazów prowadzenia działalności oraz w sprawie środków zwiększających skuteczność postępowań dotyczących restrukturyzacji, niewypłacalności i umorzenia długów, a także zmieniającej dyrektywę (UE) 2017/1132 na poziomie UE (pkt 12 OSR) oraz ewentualnych mechanizmów monitorowania postępowań restrukturyzacyjnych w Polsce.</w:t>
      </w:r>
    </w:p>
    <w:p w14:paraId="643F7404" w14:textId="77777777" w:rsidR="00B73A98" w:rsidRDefault="00B73A98" w:rsidP="00B73A98">
      <w:pPr>
        <w:spacing w:line="360" w:lineRule="auto"/>
        <w:ind w:left="4956"/>
        <w:jc w:val="center"/>
      </w:pPr>
    </w:p>
    <w:p w14:paraId="715296B1" w14:textId="77777777" w:rsidR="00B73A98" w:rsidRPr="00DC622E" w:rsidRDefault="00B73A98" w:rsidP="00B73A98">
      <w:r w:rsidRPr="00DC622E">
        <w:rPr>
          <w:noProof/>
        </w:rPr>
        <mc:AlternateContent>
          <mc:Choice Requires="wps">
            <w:drawing>
              <wp:anchor distT="4294967294" distB="4294967294" distL="114300" distR="114300" simplePos="0" relativeHeight="251659264" behindDoc="0" locked="0" layoutInCell="1" allowOverlap="1" wp14:anchorId="0F497853" wp14:editId="1099D3FC">
                <wp:simplePos x="0" y="0"/>
                <wp:positionH relativeFrom="margin">
                  <wp:posOffset>85725</wp:posOffset>
                </wp:positionH>
                <wp:positionV relativeFrom="paragraph">
                  <wp:posOffset>44449</wp:posOffset>
                </wp:positionV>
                <wp:extent cx="5681980" cy="0"/>
                <wp:effectExtent l="0" t="19050" r="33020" b="19050"/>
                <wp:wrapNone/>
                <wp:docPr id="4" name="Łącznik prosty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81980" cy="0"/>
                        </a:xfrm>
                        <a:prstGeom prst="line">
                          <a:avLst/>
                        </a:prstGeom>
                        <a:noFill/>
                        <a:ln w="38100" cap="flat" cmpd="sng" algn="ctr">
                          <a:solidFill>
                            <a:sysClr val="windowText" lastClr="000000">
                              <a:lumMod val="95000"/>
                              <a:lumOff val="5000"/>
                            </a:sysClr>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w14:anchorId="03AE2710" id="Łącznik prosty 4" o:spid="_x0000_s1026" style="position:absolute;z-index:251659264;visibility:visible;mso-wrap-style:square;mso-width-percent:0;mso-height-percent:0;mso-wrap-distance-left:9pt;mso-wrap-distance-top:-6e-5mm;mso-wrap-distance-right:9pt;mso-wrap-distance-bottom:-6e-5mm;mso-position-horizontal:absolute;mso-position-horizontal-relative:margin;mso-position-vertical:absolute;mso-position-vertical-relative:text;mso-width-percent:0;mso-height-percent:0;mso-width-relative:margin;mso-height-relative:page" from="6.75pt,3.5pt" to="454.1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" strokecolor="#0d0d0d" strokeweight="3pt">
                <v:stroke joinstyle="miter"/>
                <o:lock v:ext="edit" shapetype="f"/>
                <w10:wrap anchorx="margin"/>
              </v:line>
            </w:pict>
          </mc:Fallback>
        </mc:AlternateContent>
      </w:r>
    </w:p>
    <w:p w14:paraId="086BEAF5" w14:textId="77777777" w:rsidR="00B73A98" w:rsidRPr="00DC622E" w:rsidRDefault="00B73A98" w:rsidP="00B73A98">
      <w:pPr>
        <w:spacing w:line="120" w:lineRule="atLeast"/>
        <w:jc w:val="right"/>
        <w:rPr>
          <w:b/>
          <w:bCs/>
        </w:rPr>
      </w:pPr>
      <w:r>
        <w:rPr>
          <w:b/>
          <w:bCs/>
        </w:rPr>
        <w:t>3</w:t>
      </w:r>
      <w:r w:rsidRPr="00DC622E">
        <w:rPr>
          <w:b/>
          <w:bCs/>
        </w:rPr>
        <w:t xml:space="preserve"> </w:t>
      </w:r>
      <w:r>
        <w:rPr>
          <w:b/>
          <w:bCs/>
        </w:rPr>
        <w:t>I 2022</w:t>
      </w:r>
      <w:r w:rsidRPr="00DC622E">
        <w:rPr>
          <w:b/>
          <w:bCs/>
        </w:rPr>
        <w:t xml:space="preserve"> r.</w:t>
      </w:r>
    </w:p>
    <w:p w14:paraId="2F2166C9" w14:textId="77777777" w:rsidR="00B73A98" w:rsidRPr="00DC622E" w:rsidRDefault="00B73A98" w:rsidP="00B73A98">
      <w:pPr>
        <w:spacing w:after="120"/>
        <w:jc w:val="center"/>
        <w:rPr>
          <w:b/>
        </w:rPr>
      </w:pPr>
      <w:r w:rsidRPr="00DC622E">
        <w:rPr>
          <w:b/>
        </w:rPr>
        <w:t xml:space="preserve">Opinia </w:t>
      </w:r>
      <w:r w:rsidRPr="00DC622E">
        <w:rPr>
          <w:b/>
          <w:lang w:bidi="pl-PL"/>
        </w:rPr>
        <w:t>Rządowego Centrum Analiz</w:t>
      </w:r>
    </w:p>
    <w:p w14:paraId="2F71062F" w14:textId="77777777" w:rsidR="00B73A98" w:rsidRPr="00DC622E" w:rsidRDefault="00B73A98" w:rsidP="00B73A98">
      <w:pPr>
        <w:spacing w:after="120"/>
        <w:jc w:val="center"/>
        <w:rPr>
          <w:b/>
        </w:rPr>
      </w:pPr>
      <w:r w:rsidRPr="00DC622E">
        <w:rPr>
          <w:b/>
        </w:rPr>
        <w:t>Kancelarii Prezesa Rady Ministrów</w:t>
      </w:r>
    </w:p>
    <w:p w14:paraId="1E0718C3" w14:textId="77777777" w:rsidR="00B73A98" w:rsidRDefault="00B73A98" w:rsidP="00B73A98">
      <w:pPr>
        <w:spacing w:after="200" w:line="360" w:lineRule="auto"/>
        <w:jc w:val="center"/>
        <w:rPr>
          <w:b/>
        </w:rPr>
      </w:pPr>
      <w:r w:rsidRPr="00DC622E">
        <w:rPr>
          <w:b/>
        </w:rPr>
        <w:t>RCA-1 (aktualizacja)</w:t>
      </w:r>
    </w:p>
    <w:p w14:paraId="114DA298" w14:textId="77777777" w:rsidR="00B73A98" w:rsidRDefault="00B73A98" w:rsidP="00B73A98">
      <w:pPr>
        <w:pStyle w:val="Akapitzlist"/>
        <w:numPr>
          <w:ilvl w:val="0"/>
          <w:numId w:val="32"/>
        </w:numPr>
        <w:spacing w:after="120" w:line="360" w:lineRule="auto"/>
        <w:ind w:left="360"/>
        <w:rPr>
          <w:rFonts w:ascii="Times New Roman" w:hAnsi="Times New Roman"/>
          <w:b/>
          <w:sz w:val="24"/>
          <w:szCs w:val="24"/>
        </w:rPr>
      </w:pPr>
      <w:r w:rsidRPr="00423CBC">
        <w:rPr>
          <w:rFonts w:ascii="Times New Roman" w:hAnsi="Times New Roman"/>
          <w:b/>
          <w:sz w:val="24"/>
          <w:szCs w:val="24"/>
        </w:rPr>
        <w:t>Stanowisko Rządowego Centrum Analiz</w:t>
      </w:r>
    </w:p>
    <w:p w14:paraId="6A636C12" w14:textId="77777777" w:rsidR="00B73A98" w:rsidRPr="00B73A98" w:rsidRDefault="00B73A98" w:rsidP="00B73A98">
      <w:pPr>
        <w:pStyle w:val="Akapitzlist"/>
        <w:spacing w:after="0" w:line="360" w:lineRule="auto"/>
        <w:ind w:left="360"/>
        <w:rPr>
          <w:rFonts w:ascii="Times New Roman" w:hAnsi="Times New Roman"/>
          <w:b/>
          <w:sz w:val="24"/>
          <w:szCs w:val="24"/>
        </w:rPr>
      </w:pPr>
      <w:r w:rsidRPr="00B73A98">
        <w:rPr>
          <w:rFonts w:ascii="Times New Roman" w:hAnsi="Times New Roman"/>
          <w:b/>
          <w:sz w:val="24"/>
          <w:szCs w:val="24"/>
        </w:rPr>
        <w:t xml:space="preserve">Pozytywne </w:t>
      </w:r>
      <w:r w:rsidRPr="00B73A98">
        <w:rPr>
          <w:rFonts w:ascii="Times New Roman" w:hAnsi="Times New Roman"/>
          <w:sz w:val="24"/>
          <w:szCs w:val="24"/>
        </w:rPr>
        <w:t>(z zastrzeżeniem przedstawienia poprawionej OSR)</w:t>
      </w:r>
    </w:p>
    <w:p w14:paraId="0335D9FE" w14:textId="77777777" w:rsidR="00B73A98" w:rsidRDefault="00B73A98" w:rsidP="00B73A98">
      <w:pPr>
        <w:numPr>
          <w:ilvl w:val="0"/>
          <w:numId w:val="31"/>
        </w:numPr>
        <w:spacing w:line="360" w:lineRule="auto"/>
        <w:ind w:left="567" w:hanging="76"/>
        <w:jc w:val="both"/>
      </w:pPr>
      <w:r w:rsidRPr="00DC622E">
        <w:t xml:space="preserve">Aktualizacja opinii jest związana z odpowiedzią Wnioskodawcy na zastrzeżenia z opinii RCA z </w:t>
      </w:r>
      <w:r>
        <w:t>20 grudnia</w:t>
      </w:r>
      <w:r w:rsidRPr="00DC622E">
        <w:t xml:space="preserve"> 2021 roku.</w:t>
      </w:r>
    </w:p>
    <w:p w14:paraId="43F88485" w14:textId="77777777" w:rsidR="00B73A98" w:rsidRDefault="00B73A98" w:rsidP="00B73A98">
      <w:pPr>
        <w:numPr>
          <w:ilvl w:val="0"/>
          <w:numId w:val="31"/>
        </w:numPr>
        <w:spacing w:line="360" w:lineRule="auto"/>
        <w:ind w:left="567" w:hanging="76"/>
        <w:jc w:val="both"/>
      </w:pPr>
      <w:r w:rsidRPr="00DC622E">
        <w:t xml:space="preserve">Wnioskodawca przekazał </w:t>
      </w:r>
      <w:r>
        <w:t>stanowisko w sprawie zastrzeżeń 23 grudnia 2021 r</w:t>
      </w:r>
      <w:r w:rsidRPr="00DC622E">
        <w:t>.</w:t>
      </w:r>
      <w:r>
        <w:t xml:space="preserve"> (znak: </w:t>
      </w:r>
      <w:r w:rsidRPr="00907F2C">
        <w:t>DPE-I.4391.4.2021</w:t>
      </w:r>
      <w:r>
        <w:t>). Nie przekazał natomiast zaktualizowanego projektu ustawy, uzasadnienia i OSR.</w:t>
      </w:r>
    </w:p>
    <w:p w14:paraId="3000B258" w14:textId="77777777" w:rsidR="00B73A98" w:rsidRPr="00DC622E" w:rsidRDefault="00B73A98" w:rsidP="00B73A98">
      <w:pPr>
        <w:numPr>
          <w:ilvl w:val="0"/>
          <w:numId w:val="31"/>
        </w:numPr>
        <w:spacing w:line="360" w:lineRule="auto"/>
        <w:ind w:left="567" w:hanging="76"/>
        <w:jc w:val="both"/>
      </w:pPr>
      <w:r w:rsidRPr="00DC622E">
        <w:t xml:space="preserve">RCA </w:t>
      </w:r>
      <w:r>
        <w:t>odstępuje od zgłaszania uwag na tym etapie z zastrzeżeniem przedstawienia zaktualizowanej dokumentacji wniosku o wpis do Wykazu.</w:t>
      </w:r>
    </w:p>
    <w:p w14:paraId="25C6A426" w14:textId="77777777" w:rsidR="00B73A98" w:rsidRDefault="00B73A98" w:rsidP="00B73A98">
      <w:pPr>
        <w:pStyle w:val="Akapitzlist"/>
        <w:numPr>
          <w:ilvl w:val="0"/>
          <w:numId w:val="32"/>
        </w:numPr>
        <w:spacing w:after="120" w:line="360" w:lineRule="auto"/>
        <w:ind w:left="360"/>
        <w:jc w:val="both"/>
        <w:rPr>
          <w:rFonts w:ascii="Times New Roman" w:hAnsi="Times New Roman"/>
          <w:b/>
          <w:sz w:val="24"/>
          <w:szCs w:val="24"/>
        </w:rPr>
      </w:pPr>
      <w:r w:rsidRPr="00423CBC">
        <w:rPr>
          <w:rFonts w:ascii="Times New Roman" w:hAnsi="Times New Roman"/>
          <w:b/>
          <w:sz w:val="24"/>
          <w:szCs w:val="24"/>
        </w:rPr>
        <w:t>Uzasadnienie</w:t>
      </w:r>
    </w:p>
    <w:p w14:paraId="509418E6" w14:textId="77777777" w:rsidR="00B73A98" w:rsidRDefault="00B73A98" w:rsidP="00B73A98">
      <w:pPr>
        <w:pStyle w:val="Akapitzlist"/>
        <w:numPr>
          <w:ilvl w:val="0"/>
          <w:numId w:val="33"/>
        </w:numPr>
        <w:spacing w:after="120" w:line="360" w:lineRule="auto"/>
        <w:jc w:val="both"/>
        <w:rPr>
          <w:rFonts w:ascii="Times New Roman" w:hAnsi="Times New Roman"/>
          <w:sz w:val="24"/>
          <w:szCs w:val="24"/>
        </w:rPr>
      </w:pPr>
      <w:r w:rsidRPr="00423CBC">
        <w:rPr>
          <w:rFonts w:ascii="Times New Roman" w:hAnsi="Times New Roman"/>
          <w:i/>
          <w:sz w:val="24"/>
          <w:szCs w:val="24"/>
        </w:rPr>
        <w:t xml:space="preserve">Zasadne jest szersze uzasadnienie proponowanego art. 8 ust. 1a </w:t>
      </w:r>
      <w:r w:rsidRPr="0069503F">
        <w:rPr>
          <w:rFonts w:ascii="Times New Roman" w:hAnsi="Times New Roman"/>
          <w:i/>
          <w:sz w:val="24"/>
          <w:szCs w:val="24"/>
        </w:rPr>
        <w:t>ustawy – Prawo restrukturyzacyjne</w:t>
      </w:r>
      <w:r>
        <w:rPr>
          <w:rFonts w:ascii="Times New Roman" w:hAnsi="Times New Roman"/>
          <w:sz w:val="24"/>
          <w:szCs w:val="24"/>
        </w:rPr>
        <w:t>.</w:t>
      </w:r>
    </w:p>
    <w:p w14:paraId="5C8C1A40" w14:textId="77777777" w:rsidR="00B73A98" w:rsidRDefault="00B73A98" w:rsidP="00B73A98">
      <w:pPr>
        <w:pStyle w:val="Akapitzlist"/>
        <w:spacing w:after="120" w:line="360" w:lineRule="auto"/>
        <w:ind w:left="0"/>
        <w:jc w:val="both"/>
        <w:rPr>
          <w:rFonts w:ascii="Times New Roman" w:eastAsia="Times New Roman" w:hAnsi="Times New Roman"/>
          <w:bCs/>
          <w:sz w:val="24"/>
          <w:szCs w:val="24"/>
        </w:rPr>
      </w:pPr>
      <w:r>
        <w:rPr>
          <w:rFonts w:ascii="Times New Roman" w:hAnsi="Times New Roman"/>
          <w:b/>
          <w:sz w:val="24"/>
          <w:szCs w:val="24"/>
        </w:rPr>
        <w:t>Zastrzeżenie nieaktualne</w:t>
      </w:r>
      <w:r w:rsidRPr="00423CBC">
        <w:rPr>
          <w:rFonts w:ascii="Times New Roman" w:hAnsi="Times New Roman"/>
          <w:b/>
          <w:sz w:val="24"/>
          <w:szCs w:val="24"/>
        </w:rPr>
        <w:t>.</w:t>
      </w:r>
      <w:r>
        <w:rPr>
          <w:rFonts w:ascii="Times New Roman" w:hAnsi="Times New Roman"/>
          <w:sz w:val="24"/>
          <w:szCs w:val="24"/>
        </w:rPr>
        <w:t xml:space="preserve"> Wnioskodawca poinformował, że </w:t>
      </w:r>
      <w:r>
        <w:rPr>
          <w:rFonts w:ascii="Times New Roman" w:eastAsia="Times New Roman" w:hAnsi="Times New Roman"/>
          <w:bCs/>
          <w:sz w:val="24"/>
          <w:szCs w:val="24"/>
        </w:rPr>
        <w:t>podjęto decyzję o usunięciu przedmiotowego rozwiązania z przepisów projektu. Nie zajdzie zatem potrzeba uzupełnienia uzasadnienia w tym zakresie.</w:t>
      </w:r>
    </w:p>
    <w:p w14:paraId="05D7FC45" w14:textId="77777777" w:rsidR="00B73A98" w:rsidRDefault="00B73A98" w:rsidP="00B73A98">
      <w:pPr>
        <w:pStyle w:val="Akapitzlist"/>
        <w:numPr>
          <w:ilvl w:val="0"/>
          <w:numId w:val="33"/>
        </w:numPr>
        <w:spacing w:after="120" w:line="360" w:lineRule="auto"/>
        <w:jc w:val="both"/>
        <w:rPr>
          <w:rFonts w:ascii="Times New Roman" w:hAnsi="Times New Roman"/>
          <w:i/>
          <w:sz w:val="24"/>
          <w:szCs w:val="24"/>
        </w:rPr>
      </w:pPr>
      <w:r w:rsidRPr="00423CBC">
        <w:rPr>
          <w:rFonts w:ascii="Times New Roman" w:hAnsi="Times New Roman"/>
          <w:i/>
          <w:sz w:val="24"/>
          <w:szCs w:val="24"/>
        </w:rPr>
        <w:t xml:space="preserve">Zasadne jest omówienie wpływu proponowanych rozwiązań na wolę udzielenia oraz koszt finansowania podmiotom gospodarczym m.in. przez </w:t>
      </w:r>
      <w:r>
        <w:rPr>
          <w:rFonts w:ascii="Times New Roman" w:hAnsi="Times New Roman"/>
          <w:i/>
          <w:sz w:val="24"/>
          <w:szCs w:val="24"/>
        </w:rPr>
        <w:t xml:space="preserve">instytucje finansowe w związku </w:t>
      </w:r>
      <w:r>
        <w:rPr>
          <w:rFonts w:ascii="Times New Roman" w:hAnsi="Times New Roman"/>
          <w:i/>
          <w:sz w:val="24"/>
          <w:szCs w:val="24"/>
        </w:rPr>
        <w:br/>
      </w:r>
      <w:r w:rsidRPr="00423CBC">
        <w:rPr>
          <w:rFonts w:ascii="Times New Roman" w:hAnsi="Times New Roman"/>
          <w:i/>
          <w:sz w:val="24"/>
          <w:szCs w:val="24"/>
        </w:rPr>
        <w:t xml:space="preserve">ze zniesieniem wyłączenia z ewentualnego układu </w:t>
      </w:r>
      <w:r>
        <w:rPr>
          <w:rFonts w:ascii="Times New Roman" w:hAnsi="Times New Roman"/>
          <w:i/>
          <w:sz w:val="24"/>
          <w:szCs w:val="24"/>
        </w:rPr>
        <w:t xml:space="preserve">wierzytelności zabezpieczonych </w:t>
      </w:r>
      <w:r>
        <w:rPr>
          <w:rFonts w:ascii="Times New Roman" w:hAnsi="Times New Roman"/>
          <w:i/>
          <w:sz w:val="24"/>
          <w:szCs w:val="24"/>
        </w:rPr>
        <w:br/>
      </w:r>
      <w:r w:rsidRPr="00423CBC">
        <w:rPr>
          <w:rFonts w:ascii="Times New Roman" w:hAnsi="Times New Roman"/>
          <w:i/>
          <w:sz w:val="24"/>
          <w:szCs w:val="24"/>
        </w:rPr>
        <w:lastRenderedPageBreak/>
        <w:t>na mieniu dłużnika hipoteką, zastawem, zastawem rejestrowym, zastawem skarbowym lub hipoteką morską oraz przeniesieniem własności (pkt 7 OSR).</w:t>
      </w:r>
    </w:p>
    <w:p w14:paraId="49F58F93" w14:textId="77777777" w:rsidR="00B73A98" w:rsidRDefault="00B73A98" w:rsidP="00B73A98">
      <w:pPr>
        <w:pStyle w:val="Akapitzlist"/>
        <w:spacing w:after="120" w:line="360" w:lineRule="auto"/>
        <w:ind w:left="0"/>
        <w:jc w:val="both"/>
        <w:rPr>
          <w:rFonts w:ascii="Times New Roman" w:eastAsia="Times New Roman" w:hAnsi="Times New Roman"/>
          <w:bCs/>
          <w:sz w:val="24"/>
          <w:szCs w:val="24"/>
        </w:rPr>
      </w:pPr>
      <w:r w:rsidRPr="00423CBC">
        <w:rPr>
          <w:rFonts w:ascii="Times New Roman" w:hAnsi="Times New Roman"/>
          <w:b/>
          <w:sz w:val="24"/>
          <w:szCs w:val="24"/>
        </w:rPr>
        <w:t>Zastrzeż</w:t>
      </w:r>
      <w:r>
        <w:rPr>
          <w:rFonts w:ascii="Times New Roman" w:hAnsi="Times New Roman"/>
          <w:b/>
          <w:sz w:val="24"/>
          <w:szCs w:val="24"/>
        </w:rPr>
        <w:t>enie</w:t>
      </w:r>
      <w:r w:rsidRPr="00423CBC">
        <w:rPr>
          <w:rFonts w:ascii="Times New Roman" w:hAnsi="Times New Roman"/>
          <w:b/>
          <w:sz w:val="24"/>
          <w:szCs w:val="24"/>
        </w:rPr>
        <w:t xml:space="preserve"> uwzględnione.</w:t>
      </w:r>
      <w:r>
        <w:rPr>
          <w:rFonts w:ascii="Times New Roman" w:hAnsi="Times New Roman"/>
          <w:sz w:val="24"/>
          <w:szCs w:val="24"/>
        </w:rPr>
        <w:t xml:space="preserve"> Projektodawca wskazał, że OSR zostanie uzupełniony o stwierdzenie, iż  „</w:t>
      </w:r>
      <w:r>
        <w:rPr>
          <w:rFonts w:ascii="Times New Roman" w:eastAsia="Times New Roman" w:hAnsi="Times New Roman"/>
          <w:bCs/>
          <w:sz w:val="24"/>
          <w:szCs w:val="24"/>
        </w:rPr>
        <w:t xml:space="preserve">proponowane rozwiązanie, polegające na obligatoryjnym objęciu układem zawieranym w postępowaniu restrukturyzacyjnym wierzytelności zabezpieczonych na mieniu dłużnika hipoteką, zastawem, zastawem rejestrowym, zastawem skarbowym lub hipoteką morską nie wpłynie negatywnie na udzielanie przedsiębiorcom finansowania przez instytucje finansowe. Z kolei wprowadzenie ochrony nowego i przejściowego finasowania dłużnika, jak również ochrony transakcji związanych z procesem restrukturyzacji, przewidziane w proponowanych: </w:t>
      </w:r>
      <w:r w:rsidRPr="00F20C9E">
        <w:rPr>
          <w:rFonts w:ascii="Times New Roman" w:eastAsia="Times New Roman" w:hAnsi="Times New Roman"/>
          <w:bCs/>
          <w:iCs/>
          <w:sz w:val="24"/>
          <w:szCs w:val="24"/>
        </w:rPr>
        <w:t xml:space="preserve">art. 127a </w:t>
      </w:r>
      <w:r w:rsidRPr="00F20C9E">
        <w:rPr>
          <w:rFonts w:ascii="Times New Roman" w:eastAsia="Times New Roman" w:hAnsi="Times New Roman"/>
          <w:bCs/>
          <w:sz w:val="24"/>
          <w:szCs w:val="24"/>
        </w:rPr>
        <w:t>i</w:t>
      </w:r>
      <w:r w:rsidRPr="00F20C9E">
        <w:rPr>
          <w:rFonts w:ascii="Times New Roman" w:eastAsia="Times New Roman" w:hAnsi="Times New Roman"/>
          <w:bCs/>
          <w:iCs/>
          <w:sz w:val="24"/>
          <w:szCs w:val="24"/>
        </w:rPr>
        <w:t xml:space="preserve"> art. 129a</w:t>
      </w:r>
      <w:r>
        <w:rPr>
          <w:rFonts w:ascii="Times New Roman" w:eastAsia="Times New Roman" w:hAnsi="Times New Roman"/>
          <w:bCs/>
          <w:i/>
          <w:iCs/>
          <w:sz w:val="24"/>
          <w:szCs w:val="24"/>
        </w:rPr>
        <w:t xml:space="preserve"> </w:t>
      </w:r>
      <w:r w:rsidRPr="00CD657A">
        <w:rPr>
          <w:rFonts w:ascii="Times New Roman" w:eastAsia="Times New Roman" w:hAnsi="Times New Roman"/>
          <w:bCs/>
          <w:i/>
          <w:iCs/>
          <w:sz w:val="24"/>
          <w:szCs w:val="24"/>
        </w:rPr>
        <w:t>ustawy – Prawo upadłościowe</w:t>
      </w:r>
      <w:r>
        <w:rPr>
          <w:rFonts w:ascii="Times New Roman" w:eastAsia="Times New Roman" w:hAnsi="Times New Roman"/>
          <w:bCs/>
          <w:sz w:val="24"/>
          <w:szCs w:val="24"/>
        </w:rPr>
        <w:t>, powinno wpłynąć korzystnie na sytuację przedsiębiorców w procesie pozyskiwania przez nich nowych środków przeznaczonych na restrukturyzację prowadzonych przedsiębiorstw”.</w:t>
      </w:r>
      <w:r w:rsidRPr="00F20C9E">
        <w:rPr>
          <w:rFonts w:ascii="Times New Roman" w:hAnsi="Times New Roman"/>
          <w:b/>
          <w:i/>
          <w:sz w:val="24"/>
          <w:szCs w:val="24"/>
        </w:rPr>
        <w:t xml:space="preserve"> </w:t>
      </w:r>
      <w:r w:rsidRPr="00F20C9E">
        <w:rPr>
          <w:rFonts w:ascii="Times New Roman" w:hAnsi="Times New Roman"/>
          <w:sz w:val="24"/>
          <w:szCs w:val="24"/>
          <w:u w:val="single"/>
        </w:rPr>
        <w:t>Przy czym</w:t>
      </w:r>
      <w:r w:rsidRPr="00F20C9E">
        <w:rPr>
          <w:rFonts w:ascii="Times New Roman" w:hAnsi="Times New Roman"/>
          <w:b/>
          <w:sz w:val="24"/>
          <w:szCs w:val="24"/>
          <w:u w:val="single"/>
        </w:rPr>
        <w:t xml:space="preserve"> </w:t>
      </w:r>
      <w:r w:rsidRPr="00F20C9E">
        <w:rPr>
          <w:rFonts w:ascii="Times New Roman" w:hAnsi="Times New Roman"/>
          <w:sz w:val="24"/>
          <w:szCs w:val="24"/>
          <w:u w:val="single"/>
        </w:rPr>
        <w:t xml:space="preserve">pełna ocena stopnia uwzględnienia </w:t>
      </w:r>
      <w:r>
        <w:rPr>
          <w:rFonts w:ascii="Times New Roman" w:hAnsi="Times New Roman"/>
          <w:sz w:val="24"/>
          <w:szCs w:val="24"/>
          <w:u w:val="single"/>
        </w:rPr>
        <w:t xml:space="preserve">zastrzeżenia </w:t>
      </w:r>
      <w:r w:rsidRPr="00F20C9E">
        <w:rPr>
          <w:rFonts w:ascii="Times New Roman" w:hAnsi="Times New Roman"/>
          <w:sz w:val="24"/>
          <w:szCs w:val="24"/>
          <w:u w:val="single"/>
        </w:rPr>
        <w:t>nastąpi po przedłożeniu przez Wnioskodawcę poprawionej OSR.</w:t>
      </w:r>
    </w:p>
    <w:p w14:paraId="6C91D031" w14:textId="77777777" w:rsidR="00B73A98" w:rsidRPr="00E76C2F" w:rsidRDefault="00B73A98" w:rsidP="00B73A98">
      <w:pPr>
        <w:pStyle w:val="Akapitzlist"/>
        <w:numPr>
          <w:ilvl w:val="0"/>
          <w:numId w:val="33"/>
        </w:numPr>
        <w:spacing w:after="120" w:line="360" w:lineRule="auto"/>
        <w:jc w:val="both"/>
        <w:rPr>
          <w:rFonts w:ascii="Times New Roman" w:hAnsi="Times New Roman"/>
          <w:i/>
          <w:sz w:val="24"/>
          <w:szCs w:val="24"/>
        </w:rPr>
      </w:pPr>
      <w:r w:rsidRPr="00E76C2F">
        <w:rPr>
          <w:rFonts w:ascii="Times New Roman" w:hAnsi="Times New Roman"/>
          <w:i/>
          <w:sz w:val="24"/>
          <w:szCs w:val="24"/>
        </w:rPr>
        <w:t>Konieczne jest przedstawienie wpływu proponowanej regulacji na funkcjonowanie sądownictwa powszechnego w zakresie efektywności postepowań restrukturyzacyjnych (m.in. czasu ich trwania) oraz obciążenia pracą (pkt 4, 6, 10).</w:t>
      </w:r>
    </w:p>
    <w:p w14:paraId="30ECE72E" w14:textId="77777777" w:rsidR="00B73A98" w:rsidRDefault="00B73A98" w:rsidP="00B73A98">
      <w:pPr>
        <w:pStyle w:val="Akapitzlist"/>
        <w:spacing w:after="120" w:line="360" w:lineRule="auto"/>
        <w:ind w:left="0"/>
        <w:jc w:val="both"/>
        <w:rPr>
          <w:rFonts w:ascii="Times New Roman" w:eastAsia="Times New Roman" w:hAnsi="Times New Roman"/>
          <w:bCs/>
          <w:sz w:val="24"/>
          <w:szCs w:val="24"/>
        </w:rPr>
      </w:pPr>
      <w:r w:rsidRPr="00E76C2F">
        <w:rPr>
          <w:rFonts w:ascii="Times New Roman" w:hAnsi="Times New Roman"/>
          <w:b/>
          <w:sz w:val="24"/>
          <w:szCs w:val="24"/>
        </w:rPr>
        <w:t>Zastrzeżenie uwzględnione.</w:t>
      </w:r>
      <w:r>
        <w:rPr>
          <w:rFonts w:ascii="Times New Roman" w:hAnsi="Times New Roman"/>
          <w:sz w:val="24"/>
          <w:szCs w:val="24"/>
        </w:rPr>
        <w:t xml:space="preserve"> Wnioskodawca obszernie wyjaśnił, że </w:t>
      </w:r>
      <w:r>
        <w:rPr>
          <w:rFonts w:ascii="Times New Roman" w:eastAsia="Times New Roman" w:hAnsi="Times New Roman"/>
          <w:bCs/>
          <w:sz w:val="24"/>
          <w:szCs w:val="24"/>
        </w:rPr>
        <w:t>w</w:t>
      </w:r>
      <w:r w:rsidRPr="0035250B">
        <w:rPr>
          <w:rFonts w:ascii="Times New Roman" w:eastAsia="Times New Roman" w:hAnsi="Times New Roman"/>
          <w:bCs/>
          <w:sz w:val="24"/>
          <w:szCs w:val="24"/>
        </w:rPr>
        <w:t xml:space="preserve"> wyniku przyjęcia</w:t>
      </w:r>
      <w:r>
        <w:rPr>
          <w:rFonts w:ascii="Times New Roman" w:eastAsia="Times New Roman" w:hAnsi="Times New Roman"/>
          <w:bCs/>
          <w:sz w:val="24"/>
          <w:szCs w:val="24"/>
        </w:rPr>
        <w:t xml:space="preserve"> projektu</w:t>
      </w:r>
      <w:r w:rsidRPr="0035250B">
        <w:rPr>
          <w:rFonts w:ascii="Times New Roman" w:eastAsia="Times New Roman" w:hAnsi="Times New Roman"/>
          <w:bCs/>
          <w:sz w:val="24"/>
          <w:szCs w:val="24"/>
        </w:rPr>
        <w:t xml:space="preserve"> ustawy należy oczekiwać utrzymania podobnej do obecnej liczby postępowań restrukturyzacyjnych, przy zapewnieniu dużo wyższej ich efektowności.</w:t>
      </w:r>
      <w:r>
        <w:rPr>
          <w:rFonts w:ascii="Times New Roman" w:eastAsia="Times New Roman" w:hAnsi="Times New Roman"/>
          <w:bCs/>
          <w:sz w:val="24"/>
          <w:szCs w:val="24"/>
        </w:rPr>
        <w:t xml:space="preserve"> P</w:t>
      </w:r>
      <w:r w:rsidRPr="0035250B">
        <w:rPr>
          <w:rFonts w:ascii="Times New Roman" w:eastAsia="Times New Roman" w:hAnsi="Times New Roman"/>
          <w:bCs/>
          <w:sz w:val="24"/>
          <w:szCs w:val="24"/>
        </w:rPr>
        <w:t>rzed</w:t>
      </w:r>
      <w:r>
        <w:rPr>
          <w:rFonts w:ascii="Times New Roman" w:eastAsia="Times New Roman" w:hAnsi="Times New Roman"/>
          <w:bCs/>
          <w:sz w:val="24"/>
          <w:szCs w:val="24"/>
        </w:rPr>
        <w:t>miotowy projekt</w:t>
      </w:r>
      <w:r w:rsidRPr="0035250B">
        <w:rPr>
          <w:rFonts w:ascii="Times New Roman" w:eastAsia="Times New Roman" w:hAnsi="Times New Roman"/>
          <w:bCs/>
          <w:sz w:val="24"/>
          <w:szCs w:val="24"/>
        </w:rPr>
        <w:t xml:space="preserve"> wpłynie </w:t>
      </w:r>
      <w:r>
        <w:rPr>
          <w:rFonts w:ascii="Times New Roman" w:eastAsia="Times New Roman" w:hAnsi="Times New Roman"/>
          <w:bCs/>
          <w:sz w:val="24"/>
          <w:szCs w:val="24"/>
        </w:rPr>
        <w:t xml:space="preserve">bowiem </w:t>
      </w:r>
      <w:r w:rsidRPr="0035250B">
        <w:rPr>
          <w:rFonts w:ascii="Times New Roman" w:eastAsia="Times New Roman" w:hAnsi="Times New Roman"/>
          <w:bCs/>
          <w:sz w:val="24"/>
          <w:szCs w:val="24"/>
        </w:rPr>
        <w:t>na usprawnienie postępowań restrukturyzacyjnych, w tym przede wszystkim postępowania o zatwierdzenie układu, które st</w:t>
      </w:r>
      <w:r>
        <w:rPr>
          <w:rFonts w:ascii="Times New Roman" w:eastAsia="Times New Roman" w:hAnsi="Times New Roman"/>
          <w:bCs/>
          <w:sz w:val="24"/>
          <w:szCs w:val="24"/>
        </w:rPr>
        <w:t>ało się szczególnie popularne w </w:t>
      </w:r>
      <w:r w:rsidRPr="0035250B">
        <w:rPr>
          <w:rFonts w:ascii="Times New Roman" w:eastAsia="Times New Roman" w:hAnsi="Times New Roman"/>
          <w:bCs/>
          <w:sz w:val="24"/>
          <w:szCs w:val="24"/>
        </w:rPr>
        <w:t>okresie pandemii</w:t>
      </w:r>
      <w:r>
        <w:rPr>
          <w:rFonts w:ascii="Times New Roman" w:eastAsia="Times New Roman" w:hAnsi="Times New Roman"/>
          <w:bCs/>
          <w:sz w:val="24"/>
          <w:szCs w:val="24"/>
        </w:rPr>
        <w:t>.</w:t>
      </w:r>
      <w:r w:rsidRPr="002A7A39">
        <w:rPr>
          <w:rFonts w:ascii="Times New Roman" w:hAnsi="Times New Roman"/>
          <w:sz w:val="24"/>
          <w:szCs w:val="24"/>
          <w:u w:val="single"/>
        </w:rPr>
        <w:t xml:space="preserve"> </w:t>
      </w:r>
      <w:r>
        <w:rPr>
          <w:rFonts w:ascii="Times New Roman" w:hAnsi="Times New Roman"/>
          <w:sz w:val="24"/>
          <w:szCs w:val="24"/>
          <w:u w:val="single"/>
        </w:rPr>
        <w:t>P</w:t>
      </w:r>
      <w:r w:rsidRPr="00F20C9E">
        <w:rPr>
          <w:rFonts w:ascii="Times New Roman" w:hAnsi="Times New Roman"/>
          <w:sz w:val="24"/>
          <w:szCs w:val="24"/>
          <w:u w:val="single"/>
        </w:rPr>
        <w:t xml:space="preserve">ełna ocena stopnia uwzględnienia </w:t>
      </w:r>
      <w:r>
        <w:rPr>
          <w:rFonts w:ascii="Times New Roman" w:hAnsi="Times New Roman"/>
          <w:sz w:val="24"/>
          <w:szCs w:val="24"/>
          <w:u w:val="single"/>
        </w:rPr>
        <w:t xml:space="preserve">zastrzeżenia </w:t>
      </w:r>
      <w:r w:rsidRPr="00F20C9E">
        <w:rPr>
          <w:rFonts w:ascii="Times New Roman" w:hAnsi="Times New Roman"/>
          <w:sz w:val="24"/>
          <w:szCs w:val="24"/>
          <w:u w:val="single"/>
        </w:rPr>
        <w:t>nastąpi po przedłożeniu przez Wnioskodawcę poprawionej OSR.</w:t>
      </w:r>
    </w:p>
    <w:p w14:paraId="0B6DA176" w14:textId="77777777" w:rsidR="00B73A98" w:rsidRPr="00E76C2F" w:rsidRDefault="00B73A98" w:rsidP="00B73A98">
      <w:pPr>
        <w:pStyle w:val="Akapitzlist"/>
        <w:numPr>
          <w:ilvl w:val="0"/>
          <w:numId w:val="33"/>
        </w:numPr>
        <w:spacing w:after="120" w:line="360" w:lineRule="auto"/>
        <w:jc w:val="both"/>
        <w:rPr>
          <w:rFonts w:ascii="Times New Roman" w:hAnsi="Times New Roman"/>
          <w:i/>
          <w:sz w:val="24"/>
          <w:szCs w:val="24"/>
        </w:rPr>
      </w:pPr>
      <w:r w:rsidRPr="00E76C2F">
        <w:rPr>
          <w:rFonts w:ascii="Times New Roman" w:hAnsi="Times New Roman"/>
          <w:i/>
          <w:sz w:val="24"/>
          <w:szCs w:val="24"/>
        </w:rPr>
        <w:t>Rekomendowane jest przeprowadzenie konsultacji publicznych z przedstawicielami instytucji finansowych oraz przedsiębiorców, a także wskazanie planowanego czasu ich trwania.</w:t>
      </w:r>
    </w:p>
    <w:p w14:paraId="07D7E5DE" w14:textId="77777777" w:rsidR="00B73A98" w:rsidRDefault="00B73A98" w:rsidP="00B73A98">
      <w:pPr>
        <w:pStyle w:val="Akapitzlist"/>
        <w:spacing w:after="120" w:line="360" w:lineRule="auto"/>
        <w:ind w:left="0"/>
        <w:jc w:val="both"/>
        <w:rPr>
          <w:rFonts w:ascii="Times New Roman" w:eastAsia="Times New Roman" w:hAnsi="Times New Roman"/>
          <w:bCs/>
          <w:sz w:val="24"/>
          <w:szCs w:val="24"/>
        </w:rPr>
      </w:pPr>
      <w:r w:rsidRPr="00E76C2F">
        <w:rPr>
          <w:rFonts w:ascii="Times New Roman" w:hAnsi="Times New Roman"/>
          <w:b/>
          <w:sz w:val="24"/>
          <w:szCs w:val="24"/>
        </w:rPr>
        <w:t>Zastrzeżenie uwzględnione.</w:t>
      </w:r>
      <w:r>
        <w:rPr>
          <w:rFonts w:ascii="Times New Roman" w:hAnsi="Times New Roman"/>
          <w:sz w:val="24"/>
          <w:szCs w:val="24"/>
        </w:rPr>
        <w:t xml:space="preserve"> Projektodawca wskazał, że „</w:t>
      </w:r>
      <w:r>
        <w:rPr>
          <w:rFonts w:ascii="Times New Roman" w:eastAsia="Times New Roman" w:hAnsi="Times New Roman"/>
          <w:bCs/>
          <w:sz w:val="24"/>
          <w:szCs w:val="24"/>
        </w:rPr>
        <w:t xml:space="preserve">OSR zostanie uzupełniony </w:t>
      </w:r>
      <w:r>
        <w:rPr>
          <w:rFonts w:ascii="Times New Roman" w:eastAsia="Times New Roman" w:hAnsi="Times New Roman"/>
          <w:bCs/>
          <w:sz w:val="24"/>
          <w:szCs w:val="24"/>
        </w:rPr>
        <w:br/>
        <w:t xml:space="preserve">o informację, że skierowanie projektu </w:t>
      </w:r>
      <w:r w:rsidRPr="00CF1484">
        <w:rPr>
          <w:rFonts w:ascii="Times New Roman" w:eastAsia="Times New Roman" w:hAnsi="Times New Roman"/>
          <w:bCs/>
          <w:sz w:val="24"/>
          <w:szCs w:val="24"/>
        </w:rPr>
        <w:t xml:space="preserve">do konsultacji publicznych planowane jest na </w:t>
      </w:r>
      <w:r>
        <w:rPr>
          <w:rFonts w:ascii="Times New Roman" w:eastAsia="Times New Roman" w:hAnsi="Times New Roman"/>
          <w:bCs/>
          <w:sz w:val="24"/>
          <w:szCs w:val="24"/>
        </w:rPr>
        <w:t>luty</w:t>
      </w:r>
      <w:r w:rsidRPr="00CF1484">
        <w:rPr>
          <w:rFonts w:ascii="Times New Roman" w:eastAsia="Times New Roman" w:hAnsi="Times New Roman"/>
          <w:bCs/>
          <w:sz w:val="24"/>
          <w:szCs w:val="24"/>
        </w:rPr>
        <w:t xml:space="preserve"> 202</w:t>
      </w:r>
      <w:r>
        <w:rPr>
          <w:rFonts w:ascii="Times New Roman" w:eastAsia="Times New Roman" w:hAnsi="Times New Roman"/>
          <w:bCs/>
          <w:sz w:val="24"/>
          <w:szCs w:val="24"/>
        </w:rPr>
        <w:t>2</w:t>
      </w:r>
      <w:r w:rsidRPr="00CF1484">
        <w:rPr>
          <w:rFonts w:ascii="Times New Roman" w:eastAsia="Times New Roman" w:hAnsi="Times New Roman"/>
          <w:bCs/>
          <w:sz w:val="24"/>
          <w:szCs w:val="24"/>
        </w:rPr>
        <w:t xml:space="preserve"> r. Zakładany czas trwania konsultacji publicznych to jeden miesiąc. W ramach konsultacji publicznych planuje się indywidualne skierowanie projektu m. in. do organizacji przedsiębiorców (Business Centre Club, Krajowa Izba Gospodarcza, Polska Konfederacja Pracodawców Prywatnych „Lewiatan", Pracodawcy RP, Związek Przedsiębiorców i Pracodawców, Naczelna Rada Zrzeszeń Handlu i Usług </w:t>
      </w:r>
      <w:r>
        <w:rPr>
          <w:rFonts w:ascii="Times New Roman" w:eastAsia="Times New Roman" w:hAnsi="Times New Roman"/>
          <w:bCs/>
          <w:sz w:val="24"/>
          <w:szCs w:val="24"/>
        </w:rPr>
        <w:t>–</w:t>
      </w:r>
      <w:r w:rsidRPr="00CF1484">
        <w:rPr>
          <w:rFonts w:ascii="Times New Roman" w:eastAsia="Times New Roman" w:hAnsi="Times New Roman"/>
          <w:bCs/>
          <w:sz w:val="24"/>
          <w:szCs w:val="24"/>
        </w:rPr>
        <w:t xml:space="preserve"> Organizacja Samorządu Małych i Średnich Przedsiębiorstw, Polska Rada Biznes</w:t>
      </w:r>
      <w:r>
        <w:rPr>
          <w:rFonts w:ascii="Times New Roman" w:eastAsia="Times New Roman" w:hAnsi="Times New Roman"/>
          <w:bCs/>
          <w:sz w:val="24"/>
          <w:szCs w:val="24"/>
        </w:rPr>
        <w:t>u</w:t>
      </w:r>
      <w:r w:rsidRPr="00CF1484">
        <w:rPr>
          <w:rFonts w:ascii="Times New Roman" w:eastAsia="Times New Roman" w:hAnsi="Times New Roman"/>
          <w:bCs/>
          <w:sz w:val="24"/>
          <w:szCs w:val="24"/>
        </w:rPr>
        <w:t>) oraz</w:t>
      </w:r>
      <w:r>
        <w:rPr>
          <w:rFonts w:ascii="Times New Roman" w:eastAsia="Times New Roman" w:hAnsi="Times New Roman"/>
          <w:bCs/>
          <w:sz w:val="24"/>
          <w:szCs w:val="24"/>
        </w:rPr>
        <w:t xml:space="preserve"> organizacji reprezentującej banki</w:t>
      </w:r>
      <w:r w:rsidRPr="00CF1484">
        <w:rPr>
          <w:rFonts w:ascii="Times New Roman" w:eastAsia="Times New Roman" w:hAnsi="Times New Roman"/>
          <w:bCs/>
          <w:sz w:val="24"/>
          <w:szCs w:val="24"/>
        </w:rPr>
        <w:t xml:space="preserve"> (</w:t>
      </w:r>
      <w:r>
        <w:rPr>
          <w:rFonts w:ascii="Times New Roman" w:eastAsia="Times New Roman" w:hAnsi="Times New Roman"/>
          <w:bCs/>
          <w:sz w:val="24"/>
          <w:szCs w:val="24"/>
        </w:rPr>
        <w:t>Związek Banków Polskich</w:t>
      </w:r>
      <w:r w:rsidRPr="00CF1484">
        <w:rPr>
          <w:rFonts w:ascii="Times New Roman" w:eastAsia="Times New Roman" w:hAnsi="Times New Roman"/>
          <w:bCs/>
          <w:sz w:val="24"/>
          <w:szCs w:val="24"/>
        </w:rPr>
        <w:t>)</w:t>
      </w:r>
      <w:r>
        <w:rPr>
          <w:rFonts w:ascii="Times New Roman" w:eastAsia="Times New Roman" w:hAnsi="Times New Roman"/>
          <w:bCs/>
          <w:sz w:val="24"/>
          <w:szCs w:val="24"/>
        </w:rPr>
        <w:t xml:space="preserve">”. </w:t>
      </w:r>
      <w:r w:rsidRPr="002A7A39">
        <w:rPr>
          <w:rFonts w:ascii="Times New Roman" w:eastAsia="Times New Roman" w:hAnsi="Times New Roman"/>
          <w:bCs/>
          <w:sz w:val="24"/>
          <w:szCs w:val="24"/>
        </w:rPr>
        <w:t>Wnioskodawca powinien przedstawić w tym zakresie uzupełnioną OSR.</w:t>
      </w:r>
    </w:p>
    <w:p w14:paraId="009A1965" w14:textId="77777777" w:rsidR="00B73A98" w:rsidRDefault="00B73A98" w:rsidP="00B73A98">
      <w:pPr>
        <w:pStyle w:val="Akapitzlist"/>
        <w:numPr>
          <w:ilvl w:val="0"/>
          <w:numId w:val="33"/>
        </w:numPr>
        <w:spacing w:after="0" w:line="360" w:lineRule="auto"/>
        <w:jc w:val="both"/>
        <w:rPr>
          <w:rFonts w:ascii="Times New Roman" w:hAnsi="Times New Roman"/>
          <w:sz w:val="24"/>
          <w:szCs w:val="24"/>
        </w:rPr>
      </w:pPr>
      <w:r w:rsidRPr="007254D6">
        <w:rPr>
          <w:rFonts w:ascii="Times New Roman" w:hAnsi="Times New Roman"/>
          <w:i/>
          <w:sz w:val="24"/>
          <w:szCs w:val="24"/>
        </w:rPr>
        <w:lastRenderedPageBreak/>
        <w:t>Wskazane jest przedstawienie informacji, czy planowana jest ewaluacja Dyrektywy Parlamentu Europejskiego i Rady (UE) 2019/1023 z dnia 20 czerwca 2019 r. w sprawie ram restrukturyzacji zapobiegawczej, umorzenia długów i zakazów prowadzenia działalności oraz w sprawie środków zwiększających skuteczność postępowań dotyczących restrukturyzacji, niewypłacalności i umorzenia długów, a także zmieniającej dyrektywę (UE) 2017/1132 na poziomie UE (pkt 12 OSR) oraz ewentualnych mechanizmów monitorowania postępowań restrukturyzacyjnych w Polsce</w:t>
      </w:r>
      <w:r w:rsidRPr="0069503F">
        <w:rPr>
          <w:rFonts w:ascii="Times New Roman" w:hAnsi="Times New Roman"/>
          <w:sz w:val="24"/>
          <w:szCs w:val="24"/>
        </w:rPr>
        <w:t>.</w:t>
      </w:r>
    </w:p>
    <w:p w14:paraId="32CCDD75" w14:textId="77777777" w:rsidR="00B73A98" w:rsidRPr="00B73A98" w:rsidRDefault="00B73A98" w:rsidP="00B73A98">
      <w:pPr>
        <w:tabs>
          <w:tab w:val="left" w:pos="426"/>
        </w:tabs>
        <w:spacing w:line="360" w:lineRule="auto"/>
        <w:jc w:val="both"/>
        <w:rPr>
          <w:bCs/>
        </w:rPr>
      </w:pPr>
      <w:r w:rsidRPr="007254D6">
        <w:rPr>
          <w:b/>
        </w:rPr>
        <w:t>Zastrzeżenie uwzględnione.</w:t>
      </w:r>
      <w:r>
        <w:t xml:space="preserve"> W piśmie wskazano, że </w:t>
      </w:r>
      <w:r>
        <w:rPr>
          <w:bCs/>
        </w:rPr>
        <w:t xml:space="preserve">zgodnie z zawartą w </w:t>
      </w:r>
      <w:r w:rsidRPr="00F20C9E">
        <w:rPr>
          <w:bCs/>
          <w:iCs/>
        </w:rPr>
        <w:t>art. 33</w:t>
      </w:r>
      <w:r w:rsidRPr="00412A3F">
        <w:rPr>
          <w:bCs/>
          <w:i/>
          <w:iCs/>
        </w:rPr>
        <w:t xml:space="preserve"> dyrektywy 2019/1023</w:t>
      </w:r>
      <w:r>
        <w:rPr>
          <w:bCs/>
          <w:i/>
          <w:iCs/>
        </w:rPr>
        <w:t xml:space="preserve"> </w:t>
      </w:r>
      <w:r>
        <w:rPr>
          <w:bCs/>
        </w:rPr>
        <w:t xml:space="preserve">klauzulą przeglądową, nie później niż 17 lipca 2026 r., a następnie co pięć lat, Komisja Europejska </w:t>
      </w:r>
      <w:r w:rsidRPr="005123ED">
        <w:rPr>
          <w:bCs/>
        </w:rPr>
        <w:t>przedstawi Parla</w:t>
      </w:r>
      <w:r>
        <w:rPr>
          <w:bCs/>
        </w:rPr>
        <w:t>mentowi Europejskiemu, Radzie i </w:t>
      </w:r>
      <w:r w:rsidRPr="005123ED">
        <w:rPr>
          <w:bCs/>
        </w:rPr>
        <w:t>Europejskiemu Komitetowi Ekonomiczno-Społecznemu sprawozdanie dotyczące stosowania i skutków dyrektywy</w:t>
      </w:r>
      <w:r>
        <w:rPr>
          <w:bCs/>
        </w:rPr>
        <w:t xml:space="preserve">. Ponadto stosownie do </w:t>
      </w:r>
      <w:r w:rsidRPr="00F20C9E">
        <w:rPr>
          <w:bCs/>
          <w:iCs/>
        </w:rPr>
        <w:t>art. 29 ust. 1</w:t>
      </w:r>
      <w:r w:rsidRPr="005123ED">
        <w:rPr>
          <w:bCs/>
          <w:i/>
          <w:iCs/>
        </w:rPr>
        <w:t xml:space="preserve"> dyrektywy </w:t>
      </w:r>
      <w:r>
        <w:rPr>
          <w:bCs/>
          <w:i/>
          <w:iCs/>
        </w:rPr>
        <w:t>2019/1023</w:t>
      </w:r>
      <w:r>
        <w:rPr>
          <w:bCs/>
        </w:rPr>
        <w:t xml:space="preserve">, państwa członkowskie </w:t>
      </w:r>
      <w:r w:rsidRPr="004B20FC">
        <w:rPr>
          <w:bCs/>
        </w:rPr>
        <w:t>co roku, na poziomie krajowym, gromadzą i agregują dane dotyczące postępowań dotyczących restrukturyzacji, niew</w:t>
      </w:r>
      <w:r>
        <w:rPr>
          <w:bCs/>
        </w:rPr>
        <w:t>ypłacalności i umorzenia długów. Wnioskodawca powinien przedstawić w tym zakresie uzupełnioną OSR.</w:t>
      </w:r>
    </w:p>
    <w:p w14:paraId="785899F5" w14:textId="77777777" w:rsidR="00B73A98" w:rsidRPr="00FD0D50" w:rsidRDefault="00B73A98" w:rsidP="00B73A98">
      <w:pPr>
        <w:pStyle w:val="Akapitzlist"/>
        <w:numPr>
          <w:ilvl w:val="0"/>
          <w:numId w:val="32"/>
        </w:numPr>
        <w:tabs>
          <w:tab w:val="left" w:pos="426"/>
        </w:tabs>
        <w:spacing w:line="360" w:lineRule="auto"/>
        <w:ind w:left="360"/>
        <w:jc w:val="both"/>
        <w:rPr>
          <w:rFonts w:ascii="Times New Roman" w:hAnsi="Times New Roman"/>
          <w:b/>
          <w:sz w:val="24"/>
          <w:szCs w:val="24"/>
        </w:rPr>
      </w:pPr>
      <w:r w:rsidRPr="00FD0D50">
        <w:rPr>
          <w:rFonts w:ascii="Times New Roman" w:hAnsi="Times New Roman"/>
          <w:b/>
          <w:sz w:val="24"/>
          <w:szCs w:val="24"/>
        </w:rPr>
        <w:t xml:space="preserve">RCA </w:t>
      </w:r>
      <w:r>
        <w:rPr>
          <w:rFonts w:ascii="Times New Roman" w:hAnsi="Times New Roman"/>
          <w:b/>
          <w:sz w:val="24"/>
          <w:szCs w:val="24"/>
        </w:rPr>
        <w:t xml:space="preserve">na tym etapie </w:t>
      </w:r>
      <w:r w:rsidRPr="00FD0D50">
        <w:rPr>
          <w:rFonts w:ascii="Times New Roman" w:hAnsi="Times New Roman"/>
          <w:b/>
          <w:sz w:val="24"/>
          <w:szCs w:val="24"/>
        </w:rPr>
        <w:t xml:space="preserve">nie zgłasza </w:t>
      </w:r>
      <w:r>
        <w:rPr>
          <w:rFonts w:ascii="Times New Roman" w:hAnsi="Times New Roman"/>
          <w:b/>
          <w:sz w:val="24"/>
          <w:szCs w:val="24"/>
        </w:rPr>
        <w:t>dalszych uwag do projektu z zastrzeżeniem wprowadzenia stosownych uzupełnień do oceny skutków regulacji.</w:t>
      </w:r>
    </w:p>
    <w:p w14:paraId="7A174A24" w14:textId="77777777" w:rsidR="00B73A98" w:rsidRDefault="00B73A98" w:rsidP="00B73A98">
      <w:pPr>
        <w:spacing w:line="360" w:lineRule="auto"/>
      </w:pPr>
      <w:r w:rsidRPr="00DC622E">
        <w:rPr>
          <w:noProof/>
        </w:rPr>
        <mc:AlternateContent>
          <mc:Choice Requires="wps">
            <w:drawing>
              <wp:anchor distT="4294967294" distB="4294967294" distL="114300" distR="114300" simplePos="0" relativeHeight="251660288" behindDoc="0" locked="0" layoutInCell="1" allowOverlap="1" wp14:anchorId="78661720" wp14:editId="7F9229BF">
                <wp:simplePos x="0" y="0"/>
                <wp:positionH relativeFrom="margin">
                  <wp:posOffset>241300</wp:posOffset>
                </wp:positionH>
                <wp:positionV relativeFrom="paragraph">
                  <wp:posOffset>151765</wp:posOffset>
                </wp:positionV>
                <wp:extent cx="5681980" cy="0"/>
                <wp:effectExtent l="0" t="19050" r="33020" b="19050"/>
                <wp:wrapNone/>
                <wp:docPr id="3"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81980" cy="0"/>
                        </a:xfrm>
                        <a:prstGeom prst="line">
                          <a:avLst/>
                        </a:prstGeom>
                        <a:noFill/>
                        <a:ln w="38100" cap="flat" cmpd="sng" algn="ctr">
                          <a:solidFill>
                            <a:sysClr val="windowText" lastClr="000000">
                              <a:lumMod val="95000"/>
                              <a:lumOff val="5000"/>
                            </a:sysClr>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w14:anchorId="45DE08CE" id="Łącznik prosty 3" o:spid="_x0000_s1026" style="position:absolute;z-index:251660288;visibility:visible;mso-wrap-style:square;mso-width-percent:0;mso-height-percent:0;mso-wrap-distance-left:9pt;mso-wrap-distance-top:-6e-5mm;mso-wrap-distance-right:9pt;mso-wrap-distance-bottom:-6e-5mm;mso-position-horizontal:absolute;mso-position-horizontal-relative:margin;mso-position-vertical:absolute;mso-position-vertical-relative:text;mso-width-percent:0;mso-height-percent:0;mso-width-relative:margin;mso-height-relative:page" from="19pt,11.95pt" to="466.4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" strokecolor="#0d0d0d" strokeweight="3pt">
                <v:stroke joinstyle="miter"/>
                <o:lock v:ext="edit" shapetype="f"/>
                <w10:wrap anchorx="margin"/>
              </v:line>
            </w:pict>
          </mc:Fallback>
        </mc:AlternateContent>
      </w:r>
    </w:p>
    <w:p w14:paraId="6A845284" w14:textId="77777777" w:rsidR="00B73A98" w:rsidRDefault="00B73A98" w:rsidP="00B73A98">
      <w:pPr>
        <w:spacing w:line="120" w:lineRule="atLeast"/>
        <w:rPr>
          <w:b/>
          <w:bCs/>
        </w:rPr>
      </w:pPr>
    </w:p>
    <w:p w14:paraId="715E9380" w14:textId="77777777" w:rsidR="00B73A98" w:rsidRPr="00DC622E" w:rsidRDefault="00B73A98" w:rsidP="00B73A98">
      <w:pPr>
        <w:spacing w:line="120" w:lineRule="atLeast"/>
        <w:jc w:val="right"/>
        <w:rPr>
          <w:b/>
          <w:bCs/>
        </w:rPr>
      </w:pPr>
      <w:r>
        <w:rPr>
          <w:b/>
          <w:bCs/>
        </w:rPr>
        <w:t>17</w:t>
      </w:r>
      <w:r w:rsidRPr="00DC622E">
        <w:rPr>
          <w:b/>
          <w:bCs/>
        </w:rPr>
        <w:t xml:space="preserve"> </w:t>
      </w:r>
      <w:r>
        <w:rPr>
          <w:b/>
          <w:bCs/>
        </w:rPr>
        <w:t>I 2022</w:t>
      </w:r>
      <w:r w:rsidRPr="00DC622E">
        <w:rPr>
          <w:b/>
          <w:bCs/>
        </w:rPr>
        <w:t xml:space="preserve"> r.</w:t>
      </w:r>
    </w:p>
    <w:p w14:paraId="544D97E0" w14:textId="77777777" w:rsidR="00B73A98" w:rsidRPr="00DC622E" w:rsidRDefault="00B73A98" w:rsidP="00B73A98">
      <w:pPr>
        <w:spacing w:after="120"/>
        <w:jc w:val="center"/>
        <w:rPr>
          <w:b/>
        </w:rPr>
      </w:pPr>
      <w:r w:rsidRPr="00DC622E">
        <w:rPr>
          <w:b/>
        </w:rPr>
        <w:t xml:space="preserve">Opinia </w:t>
      </w:r>
      <w:r w:rsidRPr="00DC622E">
        <w:rPr>
          <w:b/>
          <w:lang w:bidi="pl-PL"/>
        </w:rPr>
        <w:t>Rządowego Centrum Analiz</w:t>
      </w:r>
    </w:p>
    <w:p w14:paraId="3FC84850" w14:textId="77777777" w:rsidR="00B73A98" w:rsidRPr="00DC622E" w:rsidRDefault="00B73A98" w:rsidP="00B73A98">
      <w:pPr>
        <w:spacing w:after="120"/>
        <w:jc w:val="center"/>
        <w:rPr>
          <w:b/>
        </w:rPr>
      </w:pPr>
      <w:r w:rsidRPr="00DC622E">
        <w:rPr>
          <w:b/>
        </w:rPr>
        <w:t>Kancelarii Prezesa Rady Ministrów</w:t>
      </w:r>
    </w:p>
    <w:p w14:paraId="018AFA09" w14:textId="77777777" w:rsidR="00B73A98" w:rsidRDefault="00B73A98" w:rsidP="00B73A98">
      <w:pPr>
        <w:spacing w:after="200" w:line="360" w:lineRule="auto"/>
        <w:jc w:val="center"/>
        <w:rPr>
          <w:b/>
        </w:rPr>
      </w:pPr>
      <w:r w:rsidRPr="00DC622E">
        <w:rPr>
          <w:b/>
        </w:rPr>
        <w:t>RCA-1 (</w:t>
      </w:r>
      <w:r>
        <w:rPr>
          <w:b/>
        </w:rPr>
        <w:t xml:space="preserve"> </w:t>
      </w:r>
      <w:r w:rsidRPr="00DC622E">
        <w:rPr>
          <w:b/>
        </w:rPr>
        <w:t>aktualizacja</w:t>
      </w:r>
      <w:r>
        <w:rPr>
          <w:b/>
        </w:rPr>
        <w:t xml:space="preserve"> II</w:t>
      </w:r>
      <w:r w:rsidRPr="00DC622E">
        <w:rPr>
          <w:b/>
        </w:rPr>
        <w:t>)</w:t>
      </w:r>
    </w:p>
    <w:p w14:paraId="4BA6DDFF" w14:textId="77777777" w:rsidR="00B73A98" w:rsidRDefault="00B73A98" w:rsidP="00B73A98">
      <w:pPr>
        <w:pStyle w:val="Akapitzlist"/>
        <w:numPr>
          <w:ilvl w:val="0"/>
          <w:numId w:val="34"/>
        </w:numPr>
        <w:spacing w:after="120" w:line="360" w:lineRule="auto"/>
        <w:ind w:left="360"/>
        <w:rPr>
          <w:rFonts w:ascii="Times New Roman" w:hAnsi="Times New Roman"/>
          <w:b/>
          <w:sz w:val="24"/>
          <w:szCs w:val="24"/>
        </w:rPr>
      </w:pPr>
      <w:r w:rsidRPr="00EE21E9">
        <w:rPr>
          <w:rFonts w:ascii="Times New Roman" w:hAnsi="Times New Roman"/>
          <w:b/>
          <w:sz w:val="24"/>
          <w:szCs w:val="24"/>
        </w:rPr>
        <w:t>Stanowisko Rządowego Centrum Analiz</w:t>
      </w:r>
    </w:p>
    <w:p w14:paraId="5B9F585A" w14:textId="77777777" w:rsidR="00B73A98" w:rsidRPr="008D5852" w:rsidRDefault="00B73A98" w:rsidP="00B73A98">
      <w:pPr>
        <w:pStyle w:val="Akapitzlist"/>
        <w:spacing w:after="120" w:line="360" w:lineRule="auto"/>
        <w:ind w:left="360"/>
        <w:rPr>
          <w:rFonts w:ascii="Times New Roman" w:hAnsi="Times New Roman"/>
          <w:b/>
          <w:sz w:val="24"/>
          <w:szCs w:val="24"/>
        </w:rPr>
      </w:pPr>
      <w:r w:rsidRPr="008D5852">
        <w:rPr>
          <w:rFonts w:ascii="Times New Roman" w:hAnsi="Times New Roman"/>
          <w:sz w:val="24"/>
          <w:szCs w:val="24"/>
        </w:rPr>
        <w:t>Pozytywne</w:t>
      </w:r>
    </w:p>
    <w:p w14:paraId="0B0D5C66" w14:textId="77777777" w:rsidR="00B73A98" w:rsidRPr="007D770B" w:rsidRDefault="00B73A98" w:rsidP="00B73A98">
      <w:pPr>
        <w:pStyle w:val="Akapitzlist"/>
        <w:numPr>
          <w:ilvl w:val="0"/>
          <w:numId w:val="34"/>
        </w:numPr>
        <w:spacing w:after="120" w:line="360" w:lineRule="auto"/>
        <w:ind w:left="360"/>
        <w:rPr>
          <w:b/>
        </w:rPr>
      </w:pPr>
      <w:r w:rsidRPr="007D770B">
        <w:rPr>
          <w:rFonts w:ascii="Times New Roman" w:hAnsi="Times New Roman"/>
          <w:b/>
          <w:sz w:val="24"/>
          <w:szCs w:val="24"/>
        </w:rPr>
        <w:t>Uzasadnienie</w:t>
      </w:r>
    </w:p>
    <w:p w14:paraId="1A9E7785" w14:textId="77777777" w:rsidR="00B73A98" w:rsidRDefault="00B73A98" w:rsidP="00B73A98">
      <w:pPr>
        <w:numPr>
          <w:ilvl w:val="0"/>
          <w:numId w:val="35"/>
        </w:numPr>
        <w:spacing w:after="120" w:line="360" w:lineRule="auto"/>
        <w:ind w:left="1040"/>
        <w:jc w:val="both"/>
      </w:pPr>
      <w:r w:rsidRPr="00DC622E">
        <w:t xml:space="preserve">Aktualizacja opinii jest związana z </w:t>
      </w:r>
      <w:r>
        <w:t>przesłaniem przez Wnioskodawcę skorygowanej Oceny</w:t>
      </w:r>
      <w:r w:rsidRPr="00EE21E9">
        <w:t xml:space="preserve"> Skutków Regulacji</w:t>
      </w:r>
      <w:r>
        <w:t>.</w:t>
      </w:r>
    </w:p>
    <w:p w14:paraId="4C5BE136" w14:textId="77777777" w:rsidR="00B73A98" w:rsidRDefault="00B73A98" w:rsidP="00B73A98">
      <w:pPr>
        <w:numPr>
          <w:ilvl w:val="0"/>
          <w:numId w:val="35"/>
        </w:numPr>
        <w:spacing w:after="120" w:line="360" w:lineRule="auto"/>
        <w:ind w:left="1040"/>
        <w:jc w:val="both"/>
      </w:pPr>
      <w:r w:rsidRPr="00EE21E9">
        <w:t>Wszystki</w:t>
      </w:r>
      <w:r>
        <w:t>e zgłaszane zastrzeżenia zostały uwzględnione w Ocenie Skutków Regulacji.</w:t>
      </w:r>
    </w:p>
    <w:p w14:paraId="7BDBC1C9" w14:textId="77777777" w:rsidR="00B73A98" w:rsidRDefault="00B73A98" w:rsidP="00B73A98">
      <w:pPr>
        <w:numPr>
          <w:ilvl w:val="0"/>
          <w:numId w:val="35"/>
        </w:numPr>
        <w:spacing w:after="120" w:line="360" w:lineRule="auto"/>
        <w:ind w:left="1040"/>
        <w:jc w:val="both"/>
      </w:pPr>
      <w:r>
        <w:t>RCA podtrzymuje pozytywne stanowisko i na tym etapie nie zgłasza uwag do projektu ustawy.</w:t>
      </w:r>
    </w:p>
    <w:p w14:paraId="38A62ECF" w14:textId="77777777" w:rsidR="00B73A98" w:rsidRPr="00DC622E" w:rsidRDefault="00B73A98" w:rsidP="00B73A98">
      <w:r w:rsidRPr="00DC622E">
        <w:rPr>
          <w:noProof/>
        </w:rPr>
        <mc:AlternateContent>
          <mc:Choice Requires="wps">
            <w:drawing>
              <wp:anchor distT="4294967294" distB="4294967294" distL="114300" distR="114300" simplePos="0" relativeHeight="251661312" behindDoc="0" locked="0" layoutInCell="1" allowOverlap="1" wp14:anchorId="25587FCC" wp14:editId="4F2B6EE1">
                <wp:simplePos x="0" y="0"/>
                <wp:positionH relativeFrom="margin">
                  <wp:posOffset>85725</wp:posOffset>
                </wp:positionH>
                <wp:positionV relativeFrom="paragraph">
                  <wp:posOffset>44449</wp:posOffset>
                </wp:positionV>
                <wp:extent cx="5681980" cy="0"/>
                <wp:effectExtent l="0" t="19050" r="33020" b="19050"/>
                <wp:wrapNone/>
                <wp:docPr id="2" name="Łącznik prosty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81980" cy="0"/>
                        </a:xfrm>
                        <a:prstGeom prst="line">
                          <a:avLst/>
                        </a:prstGeom>
                        <a:noFill/>
                        <a:ln w="38100" cap="flat" cmpd="sng" algn="ctr">
                          <a:solidFill>
                            <a:sysClr val="windowText" lastClr="000000">
                              <a:lumMod val="95000"/>
                              <a:lumOff val="5000"/>
                            </a:sysClr>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w14:anchorId="4FAAC881" id="Łącznik prosty 2" o:spid="_x0000_s1026" style="position:absolute;z-index:251661312;visibility:visible;mso-wrap-style:square;mso-width-percent:0;mso-height-percent:0;mso-wrap-distance-left:9pt;mso-wrap-distance-top:-6e-5mm;mso-wrap-distance-right:9pt;mso-wrap-distance-bottom:-6e-5mm;mso-position-horizontal:absolute;mso-position-horizontal-relative:margin;mso-position-vertical:absolute;mso-position-vertical-relative:text;mso-width-percent:0;mso-height-percent:0;mso-width-relative:margin;mso-height-relative:page" from="6.75pt,3.5pt" to="454.1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" strokecolor="#0d0d0d" strokeweight="3pt">
                <v:stroke joinstyle="miter"/>
                <o:lock v:ext="edit" shapetype="f"/>
                <w10:wrap anchorx="margin"/>
              </v:line>
            </w:pict>
          </mc:Fallback>
        </mc:AlternateContent>
      </w:r>
    </w:p>
    <w:p w14:paraId="5A5E9F87" w14:textId="77777777" w:rsidR="00B73A98" w:rsidRPr="00DC622E" w:rsidRDefault="006C6A9D" w:rsidP="00B73A98">
      <w:pPr>
        <w:spacing w:line="120" w:lineRule="atLeast"/>
        <w:jc w:val="right"/>
        <w:rPr>
          <w:b/>
          <w:bCs/>
        </w:rPr>
      </w:pPr>
      <w:r>
        <w:rPr>
          <w:b/>
          <w:bCs/>
        </w:rPr>
        <w:t>5</w:t>
      </w:r>
      <w:r w:rsidR="00B73A98" w:rsidRPr="00DC622E">
        <w:rPr>
          <w:b/>
          <w:bCs/>
        </w:rPr>
        <w:t xml:space="preserve"> </w:t>
      </w:r>
      <w:r w:rsidR="00B73A98">
        <w:rPr>
          <w:b/>
          <w:bCs/>
        </w:rPr>
        <w:t>VI 2023</w:t>
      </w:r>
      <w:r w:rsidR="00B73A98" w:rsidRPr="00DC622E">
        <w:rPr>
          <w:b/>
          <w:bCs/>
        </w:rPr>
        <w:t xml:space="preserve"> r.</w:t>
      </w:r>
    </w:p>
    <w:p w14:paraId="7B1AE032" w14:textId="77777777" w:rsidR="00B73A98" w:rsidRPr="00DC622E" w:rsidRDefault="00B73A98" w:rsidP="00B73A98">
      <w:pPr>
        <w:spacing w:after="120"/>
        <w:jc w:val="center"/>
        <w:rPr>
          <w:b/>
        </w:rPr>
      </w:pPr>
      <w:r w:rsidRPr="00DC622E">
        <w:rPr>
          <w:b/>
        </w:rPr>
        <w:t xml:space="preserve">Opinia </w:t>
      </w:r>
      <w:r w:rsidRPr="00DC622E">
        <w:rPr>
          <w:b/>
          <w:lang w:bidi="pl-PL"/>
        </w:rPr>
        <w:t>Rządowego Centrum Analiz</w:t>
      </w:r>
    </w:p>
    <w:p w14:paraId="5117DC6B" w14:textId="77777777" w:rsidR="00B73A98" w:rsidRPr="00DC622E" w:rsidRDefault="00B73A98" w:rsidP="00B73A98">
      <w:pPr>
        <w:spacing w:after="120"/>
        <w:jc w:val="center"/>
        <w:rPr>
          <w:b/>
        </w:rPr>
      </w:pPr>
      <w:r w:rsidRPr="00DC622E">
        <w:rPr>
          <w:b/>
        </w:rPr>
        <w:t>Kancelarii Prezesa Rady Ministrów</w:t>
      </w:r>
    </w:p>
    <w:p w14:paraId="1B6FD143" w14:textId="77777777" w:rsidR="00B73A98" w:rsidRDefault="00B73A98" w:rsidP="00B73A98">
      <w:pPr>
        <w:spacing w:after="200" w:line="360" w:lineRule="auto"/>
        <w:jc w:val="center"/>
        <w:rPr>
          <w:b/>
        </w:rPr>
      </w:pPr>
      <w:r w:rsidRPr="00DC622E">
        <w:rPr>
          <w:b/>
        </w:rPr>
        <w:lastRenderedPageBreak/>
        <w:t>RCA-1 (aktualizacja</w:t>
      </w:r>
      <w:r>
        <w:rPr>
          <w:b/>
        </w:rPr>
        <w:t xml:space="preserve"> III</w:t>
      </w:r>
      <w:r w:rsidRPr="00DC622E">
        <w:rPr>
          <w:b/>
        </w:rPr>
        <w:t>)</w:t>
      </w:r>
    </w:p>
    <w:p w14:paraId="2BBBA965" w14:textId="77777777" w:rsidR="00B73A98" w:rsidRDefault="00B73A98" w:rsidP="00B73A98">
      <w:pPr>
        <w:pStyle w:val="Akapitzlist"/>
        <w:numPr>
          <w:ilvl w:val="0"/>
          <w:numId w:val="36"/>
        </w:numPr>
        <w:spacing w:after="120" w:line="360" w:lineRule="auto"/>
        <w:ind w:left="360"/>
        <w:rPr>
          <w:rFonts w:ascii="Times New Roman" w:hAnsi="Times New Roman"/>
          <w:b/>
          <w:sz w:val="24"/>
          <w:szCs w:val="24"/>
        </w:rPr>
      </w:pPr>
      <w:r w:rsidRPr="00423CBC">
        <w:rPr>
          <w:rFonts w:ascii="Times New Roman" w:hAnsi="Times New Roman"/>
          <w:b/>
          <w:sz w:val="24"/>
          <w:szCs w:val="24"/>
        </w:rPr>
        <w:t>Stanowisko Rządowego Centrum Analiz</w:t>
      </w:r>
    </w:p>
    <w:p w14:paraId="595E480E" w14:textId="77777777" w:rsidR="00B73A98" w:rsidRPr="00360ACB" w:rsidRDefault="00B73A98" w:rsidP="00B73A98">
      <w:pPr>
        <w:pStyle w:val="Akapitzlist"/>
        <w:spacing w:after="120" w:line="360" w:lineRule="auto"/>
        <w:ind w:left="709" w:hanging="425"/>
        <w:rPr>
          <w:rFonts w:ascii="Times New Roman" w:hAnsi="Times New Roman"/>
          <w:b/>
          <w:sz w:val="24"/>
          <w:szCs w:val="24"/>
        </w:rPr>
      </w:pPr>
      <w:r w:rsidRPr="00360ACB">
        <w:rPr>
          <w:rFonts w:ascii="Times New Roman" w:hAnsi="Times New Roman"/>
          <w:b/>
          <w:sz w:val="24"/>
          <w:szCs w:val="24"/>
        </w:rPr>
        <w:t>Pozytywne</w:t>
      </w:r>
    </w:p>
    <w:p w14:paraId="10FF1C0D" w14:textId="77777777" w:rsidR="00B73A98" w:rsidRDefault="00B73A98" w:rsidP="00B73A98">
      <w:pPr>
        <w:numPr>
          <w:ilvl w:val="0"/>
          <w:numId w:val="37"/>
        </w:numPr>
        <w:spacing w:line="360" w:lineRule="auto"/>
        <w:ind w:left="851" w:hanging="284"/>
        <w:jc w:val="both"/>
      </w:pPr>
      <w:r w:rsidRPr="00DC622E">
        <w:t xml:space="preserve">Aktualizacja opinii jest związana z </w:t>
      </w:r>
      <w:r>
        <w:t>przekazaniem do RCA 30 maja 2023 r</w:t>
      </w:r>
      <w:r w:rsidRPr="00DC622E">
        <w:t>.</w:t>
      </w:r>
      <w:r>
        <w:t xml:space="preserve"> wniosku </w:t>
      </w:r>
      <w:r>
        <w:br/>
        <w:t xml:space="preserve">o aktualizację wpisu do Wykazu prac legislacyjnych i programowych Rady Ministrów, </w:t>
      </w:r>
    </w:p>
    <w:p w14:paraId="25E3E5D5" w14:textId="77777777" w:rsidR="00B73A98" w:rsidRDefault="00B73A98" w:rsidP="00B73A98">
      <w:pPr>
        <w:numPr>
          <w:ilvl w:val="0"/>
          <w:numId w:val="37"/>
        </w:numPr>
        <w:spacing w:line="360" w:lineRule="auto"/>
        <w:ind w:left="851" w:hanging="284"/>
        <w:jc w:val="both"/>
      </w:pPr>
      <w:r>
        <w:t>Projekt ustawy był przedmiotem uzgodnień międzyresortowych, konsultacji publicznych i opiniowania, a także został przyjęty przez Komitet do Spraw Europejskich.</w:t>
      </w:r>
    </w:p>
    <w:p w14:paraId="32F4DE51" w14:textId="77777777" w:rsidR="00B73A98" w:rsidRDefault="00B73A98" w:rsidP="00B73A98">
      <w:pPr>
        <w:numPr>
          <w:ilvl w:val="0"/>
          <w:numId w:val="37"/>
        </w:numPr>
        <w:spacing w:line="360" w:lineRule="auto"/>
        <w:ind w:left="851" w:hanging="284"/>
        <w:jc w:val="both"/>
      </w:pPr>
      <w:r>
        <w:t>Wniosek o aktualizację wpisu uzasadniono potrzebą:</w:t>
      </w:r>
    </w:p>
    <w:p w14:paraId="77019D44" w14:textId="77777777" w:rsidR="00B73A98" w:rsidRDefault="00B73A98" w:rsidP="00B73A98">
      <w:pPr>
        <w:numPr>
          <w:ilvl w:val="1"/>
          <w:numId w:val="37"/>
        </w:numPr>
        <w:spacing w:line="360" w:lineRule="auto"/>
        <w:ind w:left="1267"/>
        <w:jc w:val="both"/>
      </w:pPr>
      <w:r>
        <w:t>systematyzacji zasad wyboru osób powoływanych do pełnienia funkcji pozasądowych organów postępowania upadłościowego oraz restrukturyzacyjnego – w związku z sygnalizowanymi w doniesieniach medialnych nieprawidłowościami oraz wpływającymi do Ministerstwa Sprawiedliwości skargami – proponuje się wprowadzenie sądowych list doradców restrukturyzacyjnych;</w:t>
      </w:r>
    </w:p>
    <w:p w14:paraId="13FB43B9" w14:textId="77777777" w:rsidR="00B73A98" w:rsidRDefault="00B73A98" w:rsidP="00B73A98">
      <w:pPr>
        <w:numPr>
          <w:ilvl w:val="1"/>
          <w:numId w:val="37"/>
        </w:numPr>
        <w:spacing w:line="360" w:lineRule="auto"/>
        <w:ind w:left="1267"/>
        <w:jc w:val="both"/>
      </w:pPr>
      <w:r>
        <w:t>uzupełnienia postępowania upadłościowego o mechanizm pozwalający wierzycielom na wystąpienie o zmianę syndyka na osobę przez siebie wskazaną;</w:t>
      </w:r>
    </w:p>
    <w:p w14:paraId="2961DA2A" w14:textId="77777777" w:rsidR="00B73A98" w:rsidRDefault="00B73A98" w:rsidP="00B73A98">
      <w:pPr>
        <w:numPr>
          <w:ilvl w:val="1"/>
          <w:numId w:val="37"/>
        </w:numPr>
        <w:spacing w:line="360" w:lineRule="auto"/>
        <w:ind w:left="1267"/>
        <w:jc w:val="both"/>
      </w:pPr>
      <w:r>
        <w:t xml:space="preserve">rozszerzenia katalogu postępowań, w których na funkcje organów pozasądowych </w:t>
      </w:r>
      <w:r w:rsidR="00EA29F6">
        <w:br/>
      </w:r>
      <w:r>
        <w:t>w postępowaniach upadłościowych i restrukturyzacyjnych musi być wyznaczona osoba legitymująca się licencją doradcy restrukturyzacyjnego z tytułem kwalifikowanego doradcy restrukturyzacyjnego;</w:t>
      </w:r>
    </w:p>
    <w:p w14:paraId="29FB3B73" w14:textId="77777777" w:rsidR="00B73A98" w:rsidRDefault="00B73A98" w:rsidP="00B73A98">
      <w:pPr>
        <w:numPr>
          <w:ilvl w:val="1"/>
          <w:numId w:val="37"/>
        </w:numPr>
        <w:spacing w:line="360" w:lineRule="auto"/>
        <w:ind w:left="1267"/>
        <w:jc w:val="both"/>
      </w:pPr>
      <w:r>
        <w:t>nałożenia na syndyka masy upadłości w postępowaniu upadłościowym osoby fizycznej nieprowadzącej działalności gospodarczej obowiązku przechowywania środków pieniężnych wchodzących w skład masy upadłości na rachunku upadłego, do którego uzyskał dostęp w związku z pełnieniem funkcji syndyka upadłego albo na należącym do syndyka, wyodrębnionym rachunku bankowym;</w:t>
      </w:r>
    </w:p>
    <w:p w14:paraId="26247B7A" w14:textId="77777777" w:rsidR="00B73A98" w:rsidRDefault="00B73A98" w:rsidP="00B73A98">
      <w:pPr>
        <w:numPr>
          <w:ilvl w:val="1"/>
          <w:numId w:val="37"/>
        </w:numPr>
        <w:spacing w:line="360" w:lineRule="auto"/>
        <w:ind w:left="1267"/>
        <w:jc w:val="both"/>
      </w:pPr>
      <w:r>
        <w:t>nałożenia na syndyka obowiązku zawiadamiania o ogłoszeniu upadłości MON, jeżeli upadły wykonuje działalność gospodarczą, o której mowa w ustawie z dnia 13 czerwca 2019 r. o wykonywaniu działalności gospodarczej w zakresie wytwarzania i obrotu materiałami wybuchowymi, bronią, amunicją oraz wyrobami i technologią o przeznaczeniu wojskowym lub policyjnym;</w:t>
      </w:r>
    </w:p>
    <w:p w14:paraId="60A1C2D9" w14:textId="77777777" w:rsidR="00B73A98" w:rsidRDefault="00B73A98" w:rsidP="00B73A98">
      <w:pPr>
        <w:numPr>
          <w:ilvl w:val="1"/>
          <w:numId w:val="37"/>
        </w:numPr>
        <w:spacing w:line="360" w:lineRule="auto"/>
        <w:ind w:left="1267"/>
        <w:jc w:val="both"/>
      </w:pPr>
      <w:r>
        <w:t xml:space="preserve">uzyskiwania przez Ministra Obrony Narodowej informacji o przedsiębiorcy, pomiędzy okresem po ogłoszeniu upadłości przedsiębiorcy a momentem wystosowania przez syndyka zawiadomienia o zamiarze sprzedaży składników majątku służących do prowadzenia działalności w dziedzinie obronności </w:t>
      </w:r>
      <w:r>
        <w:br/>
        <w:t>i bezpieczeństwa państwa;</w:t>
      </w:r>
    </w:p>
    <w:p w14:paraId="38BCDC45" w14:textId="77777777" w:rsidR="00B73A98" w:rsidRDefault="00B73A98" w:rsidP="00B73A98">
      <w:pPr>
        <w:numPr>
          <w:ilvl w:val="1"/>
          <w:numId w:val="37"/>
        </w:numPr>
        <w:spacing w:line="360" w:lineRule="auto"/>
        <w:ind w:left="1267"/>
        <w:jc w:val="both"/>
      </w:pPr>
      <w:r>
        <w:lastRenderedPageBreak/>
        <w:t>dodania regulacji dotyczącej zwrotu opłaty egzaminacyjnej uiszczanej przez wnoszącego o dopuszczenie do egzaminu dla osób ubiegających się o licencję doradcy restrukturyzacyjnego.</w:t>
      </w:r>
    </w:p>
    <w:p w14:paraId="405B09F3" w14:textId="77777777" w:rsidR="00B73A98" w:rsidRPr="00DC622E" w:rsidRDefault="00B73A98" w:rsidP="00B73A98">
      <w:pPr>
        <w:numPr>
          <w:ilvl w:val="0"/>
          <w:numId w:val="37"/>
        </w:numPr>
        <w:spacing w:after="120" w:line="360" w:lineRule="auto"/>
        <w:ind w:left="851" w:hanging="284"/>
        <w:jc w:val="both"/>
      </w:pPr>
      <w:r>
        <w:t>Zastrzeżenia RCA z</w:t>
      </w:r>
      <w:r w:rsidRPr="00F610FD">
        <w:t>głaszane w toku dotychczasowych prac legislacyjnych zostały uwzględnione</w:t>
      </w:r>
      <w:r>
        <w:t xml:space="preserve"> przez Wnioskodawcę. RCA nie zgłasza nowych uwag.</w:t>
      </w:r>
    </w:p>
    <w:p w14:paraId="7F9982AB" w14:textId="77777777" w:rsidR="00B73A98" w:rsidRDefault="00B73A98" w:rsidP="00B73A98">
      <w:pPr>
        <w:pStyle w:val="Akapitzlist"/>
        <w:numPr>
          <w:ilvl w:val="0"/>
          <w:numId w:val="36"/>
        </w:numPr>
        <w:spacing w:after="120" w:line="360" w:lineRule="auto"/>
        <w:ind w:left="360"/>
        <w:jc w:val="both"/>
        <w:rPr>
          <w:rFonts w:ascii="Times New Roman" w:hAnsi="Times New Roman"/>
          <w:b/>
          <w:sz w:val="24"/>
          <w:szCs w:val="24"/>
        </w:rPr>
      </w:pPr>
      <w:r w:rsidRPr="00423CBC">
        <w:rPr>
          <w:rFonts w:ascii="Times New Roman" w:hAnsi="Times New Roman"/>
          <w:b/>
          <w:sz w:val="24"/>
          <w:szCs w:val="24"/>
        </w:rPr>
        <w:t>Uzasadnienie</w:t>
      </w:r>
    </w:p>
    <w:p w14:paraId="3F36E0B1" w14:textId="77777777" w:rsidR="00B73A98" w:rsidRDefault="00B73A98" w:rsidP="00B73A98">
      <w:pPr>
        <w:pStyle w:val="Akapitzlist"/>
        <w:spacing w:after="0" w:line="360" w:lineRule="auto"/>
        <w:ind w:left="0"/>
        <w:jc w:val="both"/>
        <w:rPr>
          <w:rFonts w:ascii="Times New Roman" w:hAnsi="Times New Roman"/>
          <w:sz w:val="24"/>
          <w:szCs w:val="24"/>
        </w:rPr>
      </w:pPr>
      <w:r>
        <w:rPr>
          <w:rFonts w:ascii="Times New Roman" w:hAnsi="Times New Roman"/>
          <w:sz w:val="24"/>
          <w:szCs w:val="24"/>
        </w:rPr>
        <w:t>Podstawowym celem projektu ustawy jest w</w:t>
      </w:r>
      <w:r w:rsidRPr="00F610FD">
        <w:rPr>
          <w:rFonts w:ascii="Times New Roman" w:hAnsi="Times New Roman"/>
          <w:sz w:val="24"/>
          <w:szCs w:val="24"/>
        </w:rPr>
        <w:t>prowadzenie zmian w pol</w:t>
      </w:r>
      <w:r>
        <w:rPr>
          <w:rFonts w:ascii="Times New Roman" w:hAnsi="Times New Roman"/>
          <w:sz w:val="24"/>
          <w:szCs w:val="24"/>
        </w:rPr>
        <w:t>sk</w:t>
      </w:r>
      <w:r w:rsidR="00EA29F6">
        <w:rPr>
          <w:rFonts w:ascii="Times New Roman" w:hAnsi="Times New Roman"/>
          <w:sz w:val="24"/>
          <w:szCs w:val="24"/>
        </w:rPr>
        <w:t xml:space="preserve">im prawie restrukturyzacyjnym i </w:t>
      </w:r>
      <w:r>
        <w:rPr>
          <w:rFonts w:ascii="Times New Roman" w:hAnsi="Times New Roman"/>
          <w:sz w:val="24"/>
          <w:szCs w:val="24"/>
        </w:rPr>
        <w:t>upadłościowym implementujących prawo</w:t>
      </w:r>
      <w:r w:rsidRPr="00F610FD">
        <w:rPr>
          <w:rFonts w:ascii="Times New Roman" w:hAnsi="Times New Roman"/>
          <w:sz w:val="24"/>
          <w:szCs w:val="24"/>
        </w:rPr>
        <w:t xml:space="preserve"> U</w:t>
      </w:r>
      <w:r>
        <w:rPr>
          <w:rFonts w:ascii="Times New Roman" w:hAnsi="Times New Roman"/>
          <w:sz w:val="24"/>
          <w:szCs w:val="24"/>
        </w:rPr>
        <w:t xml:space="preserve">nii </w:t>
      </w:r>
      <w:r w:rsidRPr="00F610FD">
        <w:rPr>
          <w:rFonts w:ascii="Times New Roman" w:hAnsi="Times New Roman"/>
          <w:sz w:val="24"/>
          <w:szCs w:val="24"/>
        </w:rPr>
        <w:t>E</w:t>
      </w:r>
      <w:r>
        <w:rPr>
          <w:rFonts w:ascii="Times New Roman" w:hAnsi="Times New Roman"/>
          <w:sz w:val="24"/>
          <w:szCs w:val="24"/>
        </w:rPr>
        <w:t>uropejskiej</w:t>
      </w:r>
      <w:r w:rsidRPr="00F610FD">
        <w:rPr>
          <w:rFonts w:ascii="Times New Roman" w:hAnsi="Times New Roman"/>
          <w:sz w:val="24"/>
          <w:szCs w:val="24"/>
        </w:rPr>
        <w:t xml:space="preserve">. </w:t>
      </w:r>
      <w:r>
        <w:rPr>
          <w:rFonts w:ascii="Times New Roman" w:hAnsi="Times New Roman"/>
          <w:sz w:val="24"/>
          <w:szCs w:val="24"/>
        </w:rPr>
        <w:t>Ponadto zakłada się u</w:t>
      </w:r>
      <w:r w:rsidRPr="00CE34BB">
        <w:rPr>
          <w:rFonts w:ascii="Times New Roman" w:hAnsi="Times New Roman"/>
          <w:sz w:val="24"/>
          <w:szCs w:val="24"/>
        </w:rPr>
        <w:t>systematyzowanie reguł wyboru osób powoływanych do pełnienia funkcji pozasądowych organów postępowania upadłościowego oraz restrukturyzacyjnego</w:t>
      </w:r>
      <w:r>
        <w:rPr>
          <w:rFonts w:ascii="Times New Roman" w:hAnsi="Times New Roman"/>
          <w:sz w:val="24"/>
          <w:szCs w:val="24"/>
        </w:rPr>
        <w:t>.</w:t>
      </w:r>
    </w:p>
    <w:p w14:paraId="3756C8D5" w14:textId="77777777" w:rsidR="00B73A98" w:rsidRPr="00360ACB" w:rsidRDefault="00B73A98" w:rsidP="00B73A98">
      <w:pPr>
        <w:spacing w:line="360" w:lineRule="auto"/>
        <w:jc w:val="both"/>
      </w:pPr>
      <w:r w:rsidRPr="00360ACB">
        <w:t>Powyższe cele mają realizować następujące rozwiązania normatywne:</w:t>
      </w:r>
    </w:p>
    <w:p w14:paraId="176367C0" w14:textId="77777777" w:rsidR="00EA29F6" w:rsidRDefault="00B73A98" w:rsidP="00EA29F6">
      <w:pPr>
        <w:pStyle w:val="Akapitzlist"/>
        <w:numPr>
          <w:ilvl w:val="0"/>
          <w:numId w:val="38"/>
        </w:numPr>
        <w:spacing w:after="120" w:line="360" w:lineRule="auto"/>
        <w:ind w:left="360"/>
        <w:jc w:val="both"/>
        <w:rPr>
          <w:rFonts w:ascii="Times New Roman" w:hAnsi="Times New Roman"/>
          <w:sz w:val="24"/>
          <w:szCs w:val="24"/>
        </w:rPr>
      </w:pPr>
      <w:r w:rsidRPr="00F610FD">
        <w:rPr>
          <w:rFonts w:ascii="Times New Roman" w:hAnsi="Times New Roman"/>
          <w:sz w:val="24"/>
          <w:szCs w:val="24"/>
        </w:rPr>
        <w:t xml:space="preserve">jednoznaczne rozróżnienie restrukturyzacji zapobiegawczej (postępowania układowe) </w:t>
      </w:r>
      <w:r w:rsidR="00EA29F6">
        <w:rPr>
          <w:rFonts w:ascii="Times New Roman" w:hAnsi="Times New Roman"/>
          <w:sz w:val="24"/>
          <w:szCs w:val="24"/>
        </w:rPr>
        <w:br/>
      </w:r>
      <w:r w:rsidRPr="00F610FD">
        <w:rPr>
          <w:rFonts w:ascii="Times New Roman" w:hAnsi="Times New Roman"/>
          <w:sz w:val="24"/>
          <w:szCs w:val="24"/>
        </w:rPr>
        <w:t>od postępowania sanacyjnego (jednoznacznie wskazane, że to ono jest dostępne dla dłużników niewypłacalnych);</w:t>
      </w:r>
    </w:p>
    <w:p w14:paraId="5B8FF874" w14:textId="77777777" w:rsidR="00EA29F6" w:rsidRDefault="00B73A98" w:rsidP="00EA29F6">
      <w:pPr>
        <w:pStyle w:val="Akapitzlist"/>
        <w:numPr>
          <w:ilvl w:val="0"/>
          <w:numId w:val="38"/>
        </w:numPr>
        <w:spacing w:after="120" w:line="360" w:lineRule="auto"/>
        <w:ind w:left="360"/>
        <w:jc w:val="both"/>
        <w:rPr>
          <w:rFonts w:ascii="Times New Roman" w:hAnsi="Times New Roman"/>
          <w:sz w:val="24"/>
          <w:szCs w:val="24"/>
        </w:rPr>
      </w:pPr>
      <w:r w:rsidRPr="00EA29F6">
        <w:rPr>
          <w:rFonts w:ascii="Times New Roman" w:hAnsi="Times New Roman"/>
          <w:sz w:val="24"/>
          <w:szCs w:val="24"/>
        </w:rPr>
        <w:t>wskazanie Ministra Sprawiedliwości jako podmiotu odpowiedzialnego za gromadzenie danych na potrzeby UE o postępowaniach upadłościowych/sanacyjnych;</w:t>
      </w:r>
    </w:p>
    <w:p w14:paraId="3D3B73D3" w14:textId="77777777" w:rsidR="00EA29F6" w:rsidRDefault="00B73A98" w:rsidP="00EA29F6">
      <w:pPr>
        <w:pStyle w:val="Akapitzlist"/>
        <w:numPr>
          <w:ilvl w:val="0"/>
          <w:numId w:val="38"/>
        </w:numPr>
        <w:spacing w:after="120" w:line="360" w:lineRule="auto"/>
        <w:ind w:left="360"/>
        <w:jc w:val="both"/>
        <w:rPr>
          <w:rFonts w:ascii="Times New Roman" w:hAnsi="Times New Roman"/>
          <w:sz w:val="24"/>
          <w:szCs w:val="24"/>
        </w:rPr>
      </w:pPr>
      <w:r w:rsidRPr="00EA29F6">
        <w:rPr>
          <w:rFonts w:ascii="Times New Roman" w:hAnsi="Times New Roman"/>
          <w:sz w:val="24"/>
          <w:szCs w:val="24"/>
        </w:rPr>
        <w:t xml:space="preserve">rozszerzenie zakresu obowiązków informacyjnych w </w:t>
      </w:r>
      <w:r w:rsidR="00EA29F6">
        <w:rPr>
          <w:rFonts w:ascii="Times New Roman" w:hAnsi="Times New Roman"/>
          <w:sz w:val="24"/>
          <w:szCs w:val="24"/>
        </w:rPr>
        <w:t xml:space="preserve">planie restrukturyzacji </w:t>
      </w:r>
      <w:r w:rsidR="00EA29F6">
        <w:rPr>
          <w:rFonts w:ascii="Times New Roman" w:hAnsi="Times New Roman"/>
          <w:sz w:val="24"/>
          <w:szCs w:val="24"/>
        </w:rPr>
        <w:br/>
        <w:t xml:space="preserve">(m.in. </w:t>
      </w:r>
      <w:r w:rsidRPr="00EA29F6">
        <w:rPr>
          <w:rFonts w:ascii="Times New Roman" w:hAnsi="Times New Roman"/>
          <w:sz w:val="24"/>
          <w:szCs w:val="24"/>
        </w:rPr>
        <w:t>zestawienie aktywów i pasywów, informacja o wierzycielach i wspólnikach, omówienie spraw pracowniczych) oraz ograniczenie wniosku restrukturyzacyjnego dla mikroprzedsiębiorców (ograniczenie informacji dotyczących opisu przedsiębiorstwa i źródeł finansowania);</w:t>
      </w:r>
    </w:p>
    <w:p w14:paraId="2CD73EE5" w14:textId="77777777" w:rsidR="00EA29F6" w:rsidRDefault="00B73A98" w:rsidP="00EA29F6">
      <w:pPr>
        <w:pStyle w:val="Akapitzlist"/>
        <w:numPr>
          <w:ilvl w:val="0"/>
          <w:numId w:val="38"/>
        </w:numPr>
        <w:spacing w:after="120" w:line="360" w:lineRule="auto"/>
        <w:ind w:left="360"/>
        <w:jc w:val="both"/>
        <w:rPr>
          <w:rFonts w:ascii="Times New Roman" w:hAnsi="Times New Roman"/>
          <w:sz w:val="24"/>
          <w:szCs w:val="24"/>
        </w:rPr>
      </w:pPr>
      <w:r w:rsidRPr="00EA29F6">
        <w:rPr>
          <w:rFonts w:ascii="Times New Roman" w:hAnsi="Times New Roman"/>
          <w:sz w:val="24"/>
          <w:szCs w:val="24"/>
        </w:rPr>
        <w:t>MS udostępni wzór planu restrukturyzacyjnego w BIP;</w:t>
      </w:r>
    </w:p>
    <w:p w14:paraId="5894977B" w14:textId="77777777" w:rsidR="00EA29F6" w:rsidRDefault="00B73A98" w:rsidP="00EA29F6">
      <w:pPr>
        <w:pStyle w:val="Akapitzlist"/>
        <w:numPr>
          <w:ilvl w:val="0"/>
          <w:numId w:val="38"/>
        </w:numPr>
        <w:spacing w:after="120" w:line="360" w:lineRule="auto"/>
        <w:ind w:left="360"/>
        <w:jc w:val="both"/>
        <w:rPr>
          <w:rFonts w:ascii="Times New Roman" w:hAnsi="Times New Roman"/>
          <w:sz w:val="24"/>
          <w:szCs w:val="24"/>
        </w:rPr>
      </w:pPr>
      <w:r w:rsidRPr="00EA29F6">
        <w:rPr>
          <w:rFonts w:ascii="Times New Roman" w:hAnsi="Times New Roman"/>
          <w:sz w:val="24"/>
          <w:szCs w:val="24"/>
        </w:rPr>
        <w:t xml:space="preserve">wprowadzenie zasady wyznaczania nadzorców sądowych z listy doradców wg kolejności </w:t>
      </w:r>
      <w:r w:rsidR="00EA29F6">
        <w:rPr>
          <w:rFonts w:ascii="Times New Roman" w:hAnsi="Times New Roman"/>
          <w:sz w:val="24"/>
          <w:szCs w:val="24"/>
        </w:rPr>
        <w:br/>
      </w:r>
      <w:r w:rsidRPr="00EA29F6">
        <w:rPr>
          <w:rFonts w:ascii="Times New Roman" w:hAnsi="Times New Roman"/>
          <w:sz w:val="24"/>
          <w:szCs w:val="24"/>
        </w:rPr>
        <w:t>na liście (także w postępowaniach zabezpieczających) – samodzielnie działający doradcza będzie mógł być wpisany na listę w 3 z 30 sądów;</w:t>
      </w:r>
    </w:p>
    <w:p w14:paraId="57841DAD" w14:textId="77777777" w:rsidR="00EA29F6" w:rsidRDefault="00B73A98" w:rsidP="00EA29F6">
      <w:pPr>
        <w:pStyle w:val="Akapitzlist"/>
        <w:numPr>
          <w:ilvl w:val="0"/>
          <w:numId w:val="38"/>
        </w:numPr>
        <w:spacing w:after="120" w:line="360" w:lineRule="auto"/>
        <w:ind w:left="360"/>
        <w:jc w:val="both"/>
        <w:rPr>
          <w:rFonts w:ascii="Times New Roman" w:hAnsi="Times New Roman"/>
          <w:sz w:val="24"/>
          <w:szCs w:val="24"/>
        </w:rPr>
      </w:pPr>
      <w:r w:rsidRPr="00EA29F6">
        <w:rPr>
          <w:rFonts w:ascii="Times New Roman" w:hAnsi="Times New Roman"/>
          <w:sz w:val="24"/>
          <w:szCs w:val="24"/>
        </w:rPr>
        <w:t>rozszerzenie kategorii spraw w których wymagana jest posiadanie l</w:t>
      </w:r>
      <w:r w:rsidR="00EA29F6">
        <w:rPr>
          <w:rFonts w:ascii="Times New Roman" w:hAnsi="Times New Roman"/>
          <w:sz w:val="24"/>
          <w:szCs w:val="24"/>
        </w:rPr>
        <w:t>icencji kwalifikowanego doradcy</w:t>
      </w:r>
      <w:r w:rsidRPr="00EA29F6">
        <w:rPr>
          <w:rFonts w:ascii="Times New Roman" w:hAnsi="Times New Roman"/>
          <w:sz w:val="24"/>
          <w:szCs w:val="24"/>
        </w:rPr>
        <w:t>;</w:t>
      </w:r>
    </w:p>
    <w:p w14:paraId="02736771" w14:textId="77777777" w:rsidR="00EA29F6" w:rsidRDefault="00B73A98" w:rsidP="00EA29F6">
      <w:pPr>
        <w:pStyle w:val="Akapitzlist"/>
        <w:numPr>
          <w:ilvl w:val="0"/>
          <w:numId w:val="38"/>
        </w:numPr>
        <w:spacing w:after="120" w:line="360" w:lineRule="auto"/>
        <w:ind w:left="360"/>
        <w:jc w:val="both"/>
        <w:rPr>
          <w:rFonts w:ascii="Times New Roman" w:hAnsi="Times New Roman"/>
          <w:sz w:val="24"/>
          <w:szCs w:val="24"/>
        </w:rPr>
      </w:pPr>
      <w:r w:rsidRPr="00EA29F6">
        <w:rPr>
          <w:rFonts w:ascii="Times New Roman" w:hAnsi="Times New Roman"/>
          <w:sz w:val="24"/>
          <w:szCs w:val="24"/>
        </w:rPr>
        <w:t>usystematyzowanie mechanizmu wyboru syndyka;</w:t>
      </w:r>
    </w:p>
    <w:p w14:paraId="20541B9E" w14:textId="77777777" w:rsidR="00EA29F6" w:rsidRDefault="00B73A98" w:rsidP="00EA29F6">
      <w:pPr>
        <w:pStyle w:val="Akapitzlist"/>
        <w:numPr>
          <w:ilvl w:val="0"/>
          <w:numId w:val="38"/>
        </w:numPr>
        <w:spacing w:after="120" w:line="360" w:lineRule="auto"/>
        <w:ind w:left="360"/>
        <w:jc w:val="both"/>
        <w:rPr>
          <w:rFonts w:ascii="Times New Roman" w:hAnsi="Times New Roman"/>
          <w:sz w:val="24"/>
          <w:szCs w:val="24"/>
        </w:rPr>
      </w:pPr>
      <w:r w:rsidRPr="00EA29F6">
        <w:rPr>
          <w:rFonts w:ascii="Times New Roman" w:hAnsi="Times New Roman"/>
          <w:sz w:val="24"/>
          <w:szCs w:val="24"/>
        </w:rPr>
        <w:t xml:space="preserve">przyspieszenie momentu dokonywania wyceny w trybie mechanizmu cramdown – układu wbrew woli części wierzycieli – wyceny alternatywnych rozwiązań dokonuje ekspert </w:t>
      </w:r>
      <w:r w:rsidR="00EA29F6">
        <w:rPr>
          <w:rFonts w:ascii="Times New Roman" w:hAnsi="Times New Roman"/>
          <w:sz w:val="24"/>
          <w:szCs w:val="24"/>
        </w:rPr>
        <w:br/>
      </w:r>
      <w:r w:rsidRPr="00EA29F6">
        <w:rPr>
          <w:rFonts w:ascii="Times New Roman" w:hAnsi="Times New Roman"/>
          <w:sz w:val="24"/>
          <w:szCs w:val="24"/>
        </w:rPr>
        <w:t xml:space="preserve">na zlecenie nadzorcy; </w:t>
      </w:r>
    </w:p>
    <w:p w14:paraId="55B42D67" w14:textId="77777777" w:rsidR="00EA29F6" w:rsidRDefault="00B73A98" w:rsidP="00EA29F6">
      <w:pPr>
        <w:pStyle w:val="Akapitzlist"/>
        <w:numPr>
          <w:ilvl w:val="0"/>
          <w:numId w:val="38"/>
        </w:numPr>
        <w:spacing w:after="120" w:line="360" w:lineRule="auto"/>
        <w:ind w:left="360"/>
        <w:jc w:val="both"/>
        <w:rPr>
          <w:rFonts w:ascii="Times New Roman" w:hAnsi="Times New Roman"/>
          <w:sz w:val="24"/>
          <w:szCs w:val="24"/>
        </w:rPr>
      </w:pPr>
      <w:r w:rsidRPr="00EA29F6">
        <w:rPr>
          <w:rFonts w:ascii="Times New Roman" w:hAnsi="Times New Roman"/>
          <w:sz w:val="24"/>
          <w:szCs w:val="24"/>
        </w:rPr>
        <w:t>umożliwienie porozumiewania się przez sąd z nadzorca/zarządcą na odległość środkami komunikacji elektronicznej.</w:t>
      </w:r>
    </w:p>
    <w:p w14:paraId="7C3EB150" w14:textId="77777777" w:rsidR="00EA29F6" w:rsidRDefault="00B73A98" w:rsidP="00EA29F6">
      <w:pPr>
        <w:pStyle w:val="Akapitzlist"/>
        <w:numPr>
          <w:ilvl w:val="0"/>
          <w:numId w:val="38"/>
        </w:numPr>
        <w:spacing w:after="120" w:line="360" w:lineRule="auto"/>
        <w:ind w:left="360"/>
        <w:jc w:val="both"/>
        <w:rPr>
          <w:rFonts w:ascii="Times New Roman" w:hAnsi="Times New Roman"/>
          <w:sz w:val="24"/>
          <w:szCs w:val="24"/>
        </w:rPr>
      </w:pPr>
      <w:r w:rsidRPr="00EA29F6">
        <w:rPr>
          <w:rFonts w:ascii="Times New Roman" w:hAnsi="Times New Roman"/>
          <w:sz w:val="24"/>
          <w:szCs w:val="24"/>
        </w:rPr>
        <w:lastRenderedPageBreak/>
        <w:t>doprecyzowanie „pomocniczej” roli nadzorcy i zarządcy w postępowaniu restrukturyzacyjnym – co do zasady nie będzie ograniczane prawo do zarządu majątkiem dłużnika;</w:t>
      </w:r>
    </w:p>
    <w:p w14:paraId="0C2555A8" w14:textId="77777777" w:rsidR="00EA29F6" w:rsidRDefault="00B73A98" w:rsidP="00EA29F6">
      <w:pPr>
        <w:pStyle w:val="Akapitzlist"/>
        <w:numPr>
          <w:ilvl w:val="0"/>
          <w:numId w:val="38"/>
        </w:numPr>
        <w:spacing w:after="120" w:line="360" w:lineRule="auto"/>
        <w:ind w:left="360"/>
        <w:jc w:val="both"/>
        <w:rPr>
          <w:rFonts w:ascii="Times New Roman" w:hAnsi="Times New Roman"/>
          <w:sz w:val="24"/>
          <w:szCs w:val="24"/>
        </w:rPr>
      </w:pPr>
      <w:r w:rsidRPr="00EA29F6">
        <w:rPr>
          <w:rFonts w:ascii="Times New Roman" w:hAnsi="Times New Roman"/>
          <w:sz w:val="24"/>
          <w:szCs w:val="24"/>
        </w:rPr>
        <w:t>jednoznaczne wskazanie, że koszty planu restrukturyzacyjnego/wyceny są zlecane przez zlecane przez nadzorcę na rachunek dłużnika;</w:t>
      </w:r>
    </w:p>
    <w:p w14:paraId="0F53D0CC" w14:textId="77777777" w:rsidR="00EA29F6" w:rsidRDefault="00B73A98" w:rsidP="00EA29F6">
      <w:pPr>
        <w:pStyle w:val="Akapitzlist"/>
        <w:numPr>
          <w:ilvl w:val="0"/>
          <w:numId w:val="38"/>
        </w:numPr>
        <w:spacing w:after="120" w:line="360" w:lineRule="auto"/>
        <w:ind w:left="360"/>
        <w:jc w:val="both"/>
        <w:rPr>
          <w:rFonts w:ascii="Times New Roman" w:hAnsi="Times New Roman"/>
          <w:sz w:val="24"/>
          <w:szCs w:val="24"/>
        </w:rPr>
      </w:pPr>
      <w:r w:rsidRPr="00EA29F6">
        <w:rPr>
          <w:rFonts w:ascii="Times New Roman" w:hAnsi="Times New Roman"/>
          <w:sz w:val="24"/>
          <w:szCs w:val="24"/>
        </w:rPr>
        <w:t>umożliwienie wierzycielom (reprezentującym 50% sumy wierzytelności) zmiany nadzorcy układu wybranego przez dłużnika w postępowaniu o zatwierdzenie układu;</w:t>
      </w:r>
    </w:p>
    <w:p w14:paraId="1D7DCF85" w14:textId="77777777" w:rsidR="00EA29F6" w:rsidRDefault="00B73A98" w:rsidP="00EA29F6">
      <w:pPr>
        <w:pStyle w:val="Akapitzlist"/>
        <w:numPr>
          <w:ilvl w:val="0"/>
          <w:numId w:val="38"/>
        </w:numPr>
        <w:spacing w:after="120" w:line="360" w:lineRule="auto"/>
        <w:ind w:left="360"/>
        <w:jc w:val="both"/>
        <w:rPr>
          <w:rFonts w:ascii="Times New Roman" w:hAnsi="Times New Roman"/>
          <w:sz w:val="24"/>
          <w:szCs w:val="24"/>
        </w:rPr>
      </w:pPr>
      <w:r w:rsidRPr="00EA29F6">
        <w:rPr>
          <w:rFonts w:ascii="Times New Roman" w:hAnsi="Times New Roman"/>
          <w:sz w:val="24"/>
          <w:szCs w:val="24"/>
        </w:rPr>
        <w:t>przeniesienie stwierdzenia zawarcia układu na nadzorcę/zarządcę z kontrolą sądową (dotychczas zatwierdzał sędzia – komisarz);</w:t>
      </w:r>
    </w:p>
    <w:p w14:paraId="7E8ED7A3" w14:textId="77777777" w:rsidR="00EA29F6" w:rsidRDefault="00B73A98" w:rsidP="00EA29F6">
      <w:pPr>
        <w:pStyle w:val="Akapitzlist"/>
        <w:numPr>
          <w:ilvl w:val="0"/>
          <w:numId w:val="38"/>
        </w:numPr>
        <w:spacing w:after="120" w:line="360" w:lineRule="auto"/>
        <w:ind w:left="360"/>
        <w:jc w:val="both"/>
        <w:rPr>
          <w:rFonts w:ascii="Times New Roman" w:hAnsi="Times New Roman"/>
          <w:sz w:val="24"/>
          <w:szCs w:val="24"/>
        </w:rPr>
      </w:pPr>
      <w:r w:rsidRPr="00EA29F6">
        <w:rPr>
          <w:rFonts w:ascii="Times New Roman" w:hAnsi="Times New Roman"/>
          <w:sz w:val="24"/>
          <w:szCs w:val="24"/>
        </w:rPr>
        <w:t xml:space="preserve">objęcie ew. układem wierzytelności zabezpieczonej na mieniu dłużnika hipoteką, zastawem, zastawem rejestrowym, zastawem skarbowym lub hipoteką morską (dotychczas warunkowo) oraz bezwarunkowe objęcie układem wierzytelności zabezpieczonych przeniesieniem </w:t>
      </w:r>
      <w:r w:rsidR="00EA29F6">
        <w:rPr>
          <w:rFonts w:ascii="Times New Roman" w:hAnsi="Times New Roman"/>
          <w:sz w:val="24"/>
          <w:szCs w:val="24"/>
        </w:rPr>
        <w:br/>
      </w:r>
      <w:r w:rsidRPr="00EA29F6">
        <w:rPr>
          <w:rFonts w:ascii="Times New Roman" w:hAnsi="Times New Roman"/>
          <w:sz w:val="24"/>
          <w:szCs w:val="24"/>
        </w:rPr>
        <w:t>na właściciela własności rzeczy, wierzytelności lub innego prawa;</w:t>
      </w:r>
    </w:p>
    <w:p w14:paraId="48F37C81" w14:textId="77777777" w:rsidR="00EA29F6" w:rsidRDefault="00B73A98" w:rsidP="00EA29F6">
      <w:pPr>
        <w:pStyle w:val="Akapitzlist"/>
        <w:numPr>
          <w:ilvl w:val="0"/>
          <w:numId w:val="38"/>
        </w:numPr>
        <w:spacing w:after="120" w:line="360" w:lineRule="auto"/>
        <w:ind w:left="360"/>
        <w:jc w:val="both"/>
        <w:rPr>
          <w:rFonts w:ascii="Times New Roman" w:hAnsi="Times New Roman"/>
          <w:sz w:val="24"/>
          <w:szCs w:val="24"/>
        </w:rPr>
      </w:pPr>
      <w:r w:rsidRPr="00EA29F6">
        <w:rPr>
          <w:rFonts w:ascii="Times New Roman" w:hAnsi="Times New Roman"/>
          <w:sz w:val="24"/>
          <w:szCs w:val="24"/>
        </w:rPr>
        <w:t>wprowadzeniu możliwości zawarcia układu likwidacyjnego, w ramach którego możliwe jest dokonanie sprzedaży składników majątku dłużnika ze skutkami sprzedaży egzekucyjnej;</w:t>
      </w:r>
    </w:p>
    <w:p w14:paraId="3FFC371B" w14:textId="77777777" w:rsidR="00EA29F6" w:rsidRDefault="00B73A98" w:rsidP="00EA29F6">
      <w:pPr>
        <w:pStyle w:val="Akapitzlist"/>
        <w:numPr>
          <w:ilvl w:val="0"/>
          <w:numId w:val="38"/>
        </w:numPr>
        <w:spacing w:after="120" w:line="360" w:lineRule="auto"/>
        <w:ind w:left="360"/>
        <w:jc w:val="both"/>
        <w:rPr>
          <w:rFonts w:ascii="Times New Roman" w:hAnsi="Times New Roman"/>
          <w:sz w:val="24"/>
          <w:szCs w:val="24"/>
        </w:rPr>
      </w:pPr>
      <w:r w:rsidRPr="00EA29F6">
        <w:rPr>
          <w:rFonts w:ascii="Times New Roman" w:hAnsi="Times New Roman"/>
          <w:sz w:val="24"/>
          <w:szCs w:val="24"/>
        </w:rPr>
        <w:t xml:space="preserve">obligatoryjny podział wierzycieli na grupy wg sprawdzalnych kryteriów (m.in. pracownicy, rolnicy, zabezpieczeni zastawem, wspólnicy/akcjonariusze dłużnika), doprecyzowanie mechanizmu ew. odmowy zatwierdzenia podziału wierzycieli przez sąd; </w:t>
      </w:r>
    </w:p>
    <w:p w14:paraId="49DAE345" w14:textId="77777777" w:rsidR="00EA29F6" w:rsidRDefault="00B73A98" w:rsidP="00EA29F6">
      <w:pPr>
        <w:pStyle w:val="Akapitzlist"/>
        <w:numPr>
          <w:ilvl w:val="0"/>
          <w:numId w:val="38"/>
        </w:numPr>
        <w:spacing w:after="120" w:line="360" w:lineRule="auto"/>
        <w:ind w:left="360"/>
        <w:jc w:val="both"/>
        <w:rPr>
          <w:rFonts w:ascii="Times New Roman" w:hAnsi="Times New Roman"/>
          <w:sz w:val="24"/>
          <w:szCs w:val="24"/>
        </w:rPr>
      </w:pPr>
      <w:r w:rsidRPr="00EA29F6">
        <w:rPr>
          <w:rFonts w:ascii="Times New Roman" w:hAnsi="Times New Roman"/>
          <w:sz w:val="24"/>
          <w:szCs w:val="24"/>
        </w:rPr>
        <w:t>propozycje układowe co do zasady mają odpowiadać min. zaspokojeniu w postepowaniu upadłościowym;</w:t>
      </w:r>
    </w:p>
    <w:p w14:paraId="6D4DAD73" w14:textId="77777777" w:rsidR="00EA29F6" w:rsidRDefault="00B73A98" w:rsidP="00EA29F6">
      <w:pPr>
        <w:pStyle w:val="Akapitzlist"/>
        <w:numPr>
          <w:ilvl w:val="0"/>
          <w:numId w:val="38"/>
        </w:numPr>
        <w:spacing w:after="120" w:line="360" w:lineRule="auto"/>
        <w:ind w:left="360"/>
        <w:jc w:val="both"/>
        <w:rPr>
          <w:rFonts w:ascii="Times New Roman" w:hAnsi="Times New Roman"/>
          <w:sz w:val="24"/>
          <w:szCs w:val="24"/>
        </w:rPr>
      </w:pPr>
      <w:r w:rsidRPr="00EA29F6">
        <w:rPr>
          <w:rFonts w:ascii="Times New Roman" w:hAnsi="Times New Roman"/>
          <w:sz w:val="24"/>
          <w:szCs w:val="24"/>
        </w:rPr>
        <w:t>ograniczenie konieczności zatwierdzania układu na rozprawie;</w:t>
      </w:r>
    </w:p>
    <w:p w14:paraId="5803F762" w14:textId="77777777" w:rsidR="00EA29F6" w:rsidRDefault="00B73A98" w:rsidP="00EA29F6">
      <w:pPr>
        <w:pStyle w:val="Akapitzlist"/>
        <w:numPr>
          <w:ilvl w:val="0"/>
          <w:numId w:val="38"/>
        </w:numPr>
        <w:spacing w:after="120" w:line="360" w:lineRule="auto"/>
        <w:ind w:left="360"/>
        <w:jc w:val="both"/>
        <w:rPr>
          <w:rFonts w:ascii="Times New Roman" w:hAnsi="Times New Roman"/>
          <w:sz w:val="24"/>
          <w:szCs w:val="24"/>
        </w:rPr>
      </w:pPr>
      <w:r w:rsidRPr="00EA29F6">
        <w:rPr>
          <w:rFonts w:ascii="Times New Roman" w:hAnsi="Times New Roman"/>
          <w:sz w:val="24"/>
          <w:szCs w:val="24"/>
        </w:rPr>
        <w:t>jednoznaczne określenie przesłanki odmowy zatwierdzenia układu – gorsza sytuacja wierzyciela niż w postępowaniu upadłościowym;</w:t>
      </w:r>
    </w:p>
    <w:p w14:paraId="2B3645F1" w14:textId="77777777" w:rsidR="00EA29F6" w:rsidRDefault="00B73A98" w:rsidP="00EA29F6">
      <w:pPr>
        <w:pStyle w:val="Akapitzlist"/>
        <w:numPr>
          <w:ilvl w:val="0"/>
          <w:numId w:val="38"/>
        </w:numPr>
        <w:spacing w:after="120" w:line="360" w:lineRule="auto"/>
        <w:ind w:left="360"/>
        <w:jc w:val="both"/>
        <w:rPr>
          <w:rFonts w:ascii="Times New Roman" w:hAnsi="Times New Roman"/>
          <w:sz w:val="24"/>
          <w:szCs w:val="24"/>
        </w:rPr>
      </w:pPr>
      <w:r w:rsidRPr="00EA29F6">
        <w:rPr>
          <w:rFonts w:ascii="Times New Roman" w:hAnsi="Times New Roman"/>
          <w:sz w:val="24"/>
          <w:szCs w:val="24"/>
        </w:rPr>
        <w:t>możliwość wprowadzania przez sąd drobnych poprawek do zatwierdzanego układu;</w:t>
      </w:r>
    </w:p>
    <w:p w14:paraId="5C25F222" w14:textId="77777777" w:rsidR="00EA29F6" w:rsidRDefault="00B73A98" w:rsidP="00EA29F6">
      <w:pPr>
        <w:pStyle w:val="Akapitzlist"/>
        <w:numPr>
          <w:ilvl w:val="0"/>
          <w:numId w:val="38"/>
        </w:numPr>
        <w:spacing w:after="120" w:line="360" w:lineRule="auto"/>
        <w:ind w:left="360"/>
        <w:jc w:val="both"/>
        <w:rPr>
          <w:rFonts w:ascii="Times New Roman" w:hAnsi="Times New Roman"/>
          <w:sz w:val="24"/>
          <w:szCs w:val="24"/>
        </w:rPr>
      </w:pPr>
      <w:r w:rsidRPr="00EA29F6">
        <w:rPr>
          <w:rFonts w:ascii="Times New Roman" w:hAnsi="Times New Roman"/>
          <w:sz w:val="24"/>
          <w:szCs w:val="24"/>
        </w:rPr>
        <w:t>wstrzymanie indywidualnych postępowań egzekucyjnych na czas od otwarcia postępowania restrukturyzacyjnego do zakończenia postępowania;</w:t>
      </w:r>
    </w:p>
    <w:p w14:paraId="36C6FC69" w14:textId="77777777" w:rsidR="00B73A98" w:rsidRPr="00EA29F6" w:rsidRDefault="00B73A98" w:rsidP="00EA29F6">
      <w:pPr>
        <w:pStyle w:val="Akapitzlist"/>
        <w:numPr>
          <w:ilvl w:val="0"/>
          <w:numId w:val="38"/>
        </w:numPr>
        <w:spacing w:after="120" w:line="360" w:lineRule="auto"/>
        <w:ind w:left="360"/>
        <w:jc w:val="both"/>
        <w:rPr>
          <w:rFonts w:ascii="Times New Roman" w:hAnsi="Times New Roman"/>
          <w:sz w:val="24"/>
          <w:szCs w:val="24"/>
        </w:rPr>
      </w:pPr>
      <w:r w:rsidRPr="00EA29F6">
        <w:rPr>
          <w:rFonts w:ascii="Times New Roman" w:hAnsi="Times New Roman"/>
          <w:sz w:val="24"/>
          <w:szCs w:val="24"/>
        </w:rPr>
        <w:t>z</w:t>
      </w:r>
      <w:r w:rsidR="00EA29F6">
        <w:rPr>
          <w:rFonts w:ascii="Times New Roman" w:hAnsi="Times New Roman"/>
          <w:sz w:val="24"/>
          <w:szCs w:val="24"/>
        </w:rPr>
        <w:t>apewnienie należytej ochrony (</w:t>
      </w:r>
      <w:r w:rsidRPr="00EA29F6">
        <w:rPr>
          <w:rFonts w:ascii="Times New Roman" w:hAnsi="Times New Roman"/>
          <w:sz w:val="24"/>
          <w:szCs w:val="24"/>
        </w:rPr>
        <w:t xml:space="preserve">w ew. przyszłym postepowaniu upadłościowym) nowego oraz przejściowego finansowania dłużnika, wobec którego jest prowadzone postępowanie z zakresu restrukturyzacji zapobiegawczej, a także płatności związanych z operacjami i umowami </w:t>
      </w:r>
      <w:r w:rsidR="00EA29F6">
        <w:rPr>
          <w:rFonts w:ascii="Times New Roman" w:hAnsi="Times New Roman"/>
          <w:sz w:val="24"/>
          <w:szCs w:val="24"/>
        </w:rPr>
        <w:br/>
      </w:r>
      <w:r w:rsidRPr="00EA29F6">
        <w:rPr>
          <w:rFonts w:ascii="Times New Roman" w:hAnsi="Times New Roman"/>
          <w:sz w:val="24"/>
          <w:szCs w:val="24"/>
        </w:rPr>
        <w:t>w postępowaniu restrukturyzacyjnym.</w:t>
      </w:r>
    </w:p>
    <w:p w14:paraId="0ACE1DDE" w14:textId="77777777" w:rsidR="00B73A98" w:rsidRPr="00F610FD" w:rsidRDefault="00B73A98" w:rsidP="00B73A98">
      <w:pPr>
        <w:pStyle w:val="Akapitzlist"/>
        <w:spacing w:after="120" w:line="360" w:lineRule="auto"/>
        <w:ind w:left="0"/>
        <w:jc w:val="both"/>
        <w:rPr>
          <w:rFonts w:ascii="Times New Roman" w:hAnsi="Times New Roman"/>
          <w:sz w:val="24"/>
          <w:szCs w:val="24"/>
        </w:rPr>
      </w:pPr>
      <w:r w:rsidRPr="00F610FD">
        <w:rPr>
          <w:rFonts w:ascii="Times New Roman" w:hAnsi="Times New Roman"/>
          <w:sz w:val="24"/>
          <w:szCs w:val="24"/>
        </w:rPr>
        <w:t>Ocena skutków regulacji wystarczająco przedstawia przesłanki logiki interwencji (znacząco został zaktualizowany opis projektowanej nowelizacji).</w:t>
      </w:r>
    </w:p>
    <w:p w14:paraId="205C7955" w14:textId="77777777" w:rsidR="00B73A98" w:rsidRPr="00F610FD" w:rsidRDefault="00B73A98" w:rsidP="00B73A98">
      <w:pPr>
        <w:pStyle w:val="Akapitzlist"/>
        <w:spacing w:after="120" w:line="360" w:lineRule="auto"/>
        <w:ind w:left="0"/>
        <w:jc w:val="both"/>
        <w:rPr>
          <w:rFonts w:ascii="Times New Roman" w:hAnsi="Times New Roman"/>
          <w:sz w:val="24"/>
          <w:szCs w:val="24"/>
        </w:rPr>
      </w:pPr>
      <w:r w:rsidRPr="00F610FD">
        <w:rPr>
          <w:rFonts w:ascii="Times New Roman" w:hAnsi="Times New Roman"/>
          <w:sz w:val="24"/>
          <w:szCs w:val="24"/>
        </w:rPr>
        <w:t>Projekt bezpośrednio oddziałuje na sądy roz</w:t>
      </w:r>
      <w:r w:rsidR="00EA29F6">
        <w:rPr>
          <w:rFonts w:ascii="Times New Roman" w:hAnsi="Times New Roman"/>
          <w:sz w:val="24"/>
          <w:szCs w:val="24"/>
        </w:rPr>
        <w:t xml:space="preserve">patrujące sprawy upadłościowe i </w:t>
      </w:r>
      <w:r w:rsidRPr="00F610FD">
        <w:rPr>
          <w:rFonts w:ascii="Times New Roman" w:hAnsi="Times New Roman"/>
          <w:sz w:val="24"/>
          <w:szCs w:val="24"/>
        </w:rPr>
        <w:t>restrukturyzacyjne (30), dłużników i wierzycieli (284 tys. firm) oraz nadzorców lub zarządców w postępowaniach re</w:t>
      </w:r>
      <w:r>
        <w:rPr>
          <w:rFonts w:ascii="Times New Roman" w:hAnsi="Times New Roman"/>
          <w:sz w:val="24"/>
          <w:szCs w:val="24"/>
        </w:rPr>
        <w:t>strukturyzacyjnych (1,5 tys.). Z</w:t>
      </w:r>
      <w:r w:rsidRPr="00F610FD">
        <w:rPr>
          <w:rFonts w:ascii="Times New Roman" w:hAnsi="Times New Roman"/>
          <w:sz w:val="24"/>
          <w:szCs w:val="24"/>
        </w:rPr>
        <w:t xml:space="preserve">daniem </w:t>
      </w:r>
      <w:r>
        <w:rPr>
          <w:rFonts w:ascii="Times New Roman" w:hAnsi="Times New Roman"/>
          <w:sz w:val="24"/>
          <w:szCs w:val="24"/>
        </w:rPr>
        <w:t>W</w:t>
      </w:r>
      <w:r w:rsidRPr="00F610FD">
        <w:rPr>
          <w:rFonts w:ascii="Times New Roman" w:hAnsi="Times New Roman"/>
          <w:sz w:val="24"/>
          <w:szCs w:val="24"/>
        </w:rPr>
        <w:t xml:space="preserve">nioskodawcy projekt nie niesie skutków dla sektora </w:t>
      </w:r>
      <w:r w:rsidRPr="00F610FD">
        <w:rPr>
          <w:rFonts w:ascii="Times New Roman" w:hAnsi="Times New Roman"/>
          <w:sz w:val="24"/>
          <w:szCs w:val="24"/>
        </w:rPr>
        <w:lastRenderedPageBreak/>
        <w:t>finansów publicznych (rozumiane jako zmiana limitów finansowych), poza koniecznością dostosowania Krajowego Rejestru Zadłużonych (koszt: 4 mln zł w ramach środków przewidzianych na utrzymanie i rozwój systemu) oraz budowa modułu systemu teleinformatycznego do obsługi sądowych list doradców (ok. 4 mln zł).</w:t>
      </w:r>
    </w:p>
    <w:p w14:paraId="16A787C0" w14:textId="77777777" w:rsidR="00B73A98" w:rsidRPr="00F610FD" w:rsidRDefault="00B73A98" w:rsidP="00B73A98">
      <w:pPr>
        <w:pStyle w:val="Akapitzlist"/>
        <w:spacing w:after="120" w:line="360" w:lineRule="auto"/>
        <w:ind w:left="0"/>
        <w:jc w:val="both"/>
        <w:rPr>
          <w:rFonts w:ascii="Times New Roman" w:hAnsi="Times New Roman"/>
          <w:sz w:val="24"/>
          <w:szCs w:val="24"/>
        </w:rPr>
      </w:pPr>
      <w:r>
        <w:rPr>
          <w:rFonts w:ascii="Times New Roman" w:hAnsi="Times New Roman"/>
          <w:sz w:val="24"/>
          <w:szCs w:val="24"/>
        </w:rPr>
        <w:t xml:space="preserve">Ułatwiona, </w:t>
      </w:r>
      <w:r w:rsidRPr="00F610FD">
        <w:rPr>
          <w:rFonts w:ascii="Times New Roman" w:hAnsi="Times New Roman"/>
          <w:sz w:val="24"/>
          <w:szCs w:val="24"/>
        </w:rPr>
        <w:t>dzięki 3 wycenom</w:t>
      </w:r>
      <w:r>
        <w:rPr>
          <w:rFonts w:ascii="Times New Roman" w:hAnsi="Times New Roman"/>
          <w:sz w:val="24"/>
          <w:szCs w:val="24"/>
        </w:rPr>
        <w:t>:</w:t>
      </w:r>
      <w:r w:rsidRPr="00F610FD">
        <w:rPr>
          <w:rFonts w:ascii="Times New Roman" w:hAnsi="Times New Roman"/>
          <w:sz w:val="24"/>
          <w:szCs w:val="24"/>
        </w:rPr>
        <w:t xml:space="preserve"> na dzień przygotowania planu restrukturyzacyjnego, na dzień jego realizacji oraz w przypadku przeprowadzenia postępowania upadłościowego</w:t>
      </w:r>
      <w:r>
        <w:rPr>
          <w:rFonts w:ascii="Times New Roman" w:hAnsi="Times New Roman"/>
          <w:sz w:val="24"/>
          <w:szCs w:val="24"/>
        </w:rPr>
        <w:t>,</w:t>
      </w:r>
      <w:r w:rsidRPr="00F610FD">
        <w:rPr>
          <w:rFonts w:ascii="Times New Roman" w:hAnsi="Times New Roman"/>
          <w:sz w:val="24"/>
          <w:szCs w:val="24"/>
        </w:rPr>
        <w:t xml:space="preserve"> będzie </w:t>
      </w:r>
      <w:r>
        <w:rPr>
          <w:rFonts w:ascii="Times New Roman" w:hAnsi="Times New Roman"/>
          <w:sz w:val="24"/>
          <w:szCs w:val="24"/>
        </w:rPr>
        <w:t xml:space="preserve">przeprowadzona </w:t>
      </w:r>
      <w:r w:rsidRPr="00F610FD">
        <w:rPr>
          <w:rFonts w:ascii="Times New Roman" w:hAnsi="Times New Roman"/>
          <w:sz w:val="24"/>
          <w:szCs w:val="24"/>
        </w:rPr>
        <w:t xml:space="preserve">analiza planu restrukturyzacji przez wierzycieli. Ułatwiony zostanie dostęp przedsiębiorców do postepowania restrukturyzacyjnego, umożliwiającego kontynuację działalności w trudnej sytuacji finansowej (w szczególności dla mikroprzedsiębiorców). Zapewniona zostanie ochrona dłużników przed egzekucją w okresie między przyjęciem układu </w:t>
      </w:r>
      <w:r w:rsidR="00EA29F6">
        <w:rPr>
          <w:rFonts w:ascii="Times New Roman" w:hAnsi="Times New Roman"/>
          <w:sz w:val="24"/>
          <w:szCs w:val="24"/>
        </w:rPr>
        <w:br/>
      </w:r>
      <w:r w:rsidRPr="00F610FD">
        <w:rPr>
          <w:rFonts w:ascii="Times New Roman" w:hAnsi="Times New Roman"/>
          <w:sz w:val="24"/>
          <w:szCs w:val="24"/>
        </w:rPr>
        <w:t xml:space="preserve">a zakończeniem postępowania restrukturyzacyjnego. </w:t>
      </w:r>
    </w:p>
    <w:p w14:paraId="340F8A5F" w14:textId="77777777" w:rsidR="00B73A98" w:rsidRDefault="00B73A98" w:rsidP="00B73A98">
      <w:pPr>
        <w:pStyle w:val="Akapitzlist"/>
        <w:spacing w:after="120" w:line="360" w:lineRule="auto"/>
        <w:ind w:left="0"/>
        <w:jc w:val="both"/>
        <w:rPr>
          <w:rFonts w:ascii="Times New Roman" w:hAnsi="Times New Roman"/>
          <w:sz w:val="24"/>
          <w:szCs w:val="24"/>
        </w:rPr>
      </w:pPr>
      <w:r>
        <w:rPr>
          <w:rFonts w:ascii="Times New Roman" w:hAnsi="Times New Roman"/>
          <w:sz w:val="24"/>
          <w:szCs w:val="24"/>
        </w:rPr>
        <w:t>Zdaniem W</w:t>
      </w:r>
      <w:r w:rsidRPr="00F610FD">
        <w:rPr>
          <w:rFonts w:ascii="Times New Roman" w:hAnsi="Times New Roman"/>
          <w:sz w:val="24"/>
          <w:szCs w:val="24"/>
        </w:rPr>
        <w:t xml:space="preserve">nioskodawcy proponowane rozwiązania m.in. w zakresie zabezpieczenia operacji finansowych i umów nie wpłyną na wolę finansowania podmiotów gospodarczych przez instytucje finansowe oraz koszt tego finansowania, a wprowadzenie dodatkowej ochrony przejściowego </w:t>
      </w:r>
      <w:r w:rsidR="00EA29F6">
        <w:rPr>
          <w:rFonts w:ascii="Times New Roman" w:hAnsi="Times New Roman"/>
          <w:sz w:val="24"/>
          <w:szCs w:val="24"/>
        </w:rPr>
        <w:br/>
      </w:r>
      <w:r w:rsidRPr="00F610FD">
        <w:rPr>
          <w:rFonts w:ascii="Times New Roman" w:hAnsi="Times New Roman"/>
          <w:sz w:val="24"/>
          <w:szCs w:val="24"/>
        </w:rPr>
        <w:t xml:space="preserve">i nowego finansowania dłużnika wpłyną korzystnie na możliwość pozyskiwania finansowania restrukturyzacji przedsiębiorstw. </w:t>
      </w:r>
    </w:p>
    <w:p w14:paraId="533C2C23" w14:textId="77777777" w:rsidR="00B73A98" w:rsidRPr="00360ACB" w:rsidRDefault="00B73A98" w:rsidP="00B73A98">
      <w:pPr>
        <w:pStyle w:val="Akapitzlist"/>
        <w:spacing w:after="120" w:line="360" w:lineRule="auto"/>
        <w:ind w:left="0"/>
        <w:jc w:val="both"/>
        <w:rPr>
          <w:rFonts w:ascii="Times New Roman" w:hAnsi="Times New Roman"/>
          <w:sz w:val="24"/>
          <w:szCs w:val="24"/>
        </w:rPr>
      </w:pPr>
      <w:r w:rsidRPr="00360ACB">
        <w:rPr>
          <w:rFonts w:ascii="Times New Roman" w:hAnsi="Times New Roman"/>
          <w:sz w:val="24"/>
          <w:szCs w:val="24"/>
        </w:rPr>
        <w:t>Konieczne będzie wdrożenie zmian w systemach informatycznych sądów.</w:t>
      </w:r>
    </w:p>
    <w:p w14:paraId="46761B72" w14:textId="77777777" w:rsidR="00B73A98" w:rsidRPr="00F610FD" w:rsidRDefault="00B73A98" w:rsidP="00B73A98">
      <w:pPr>
        <w:pStyle w:val="Akapitzlist"/>
        <w:spacing w:after="120" w:line="360" w:lineRule="auto"/>
        <w:ind w:left="0"/>
        <w:jc w:val="both"/>
        <w:rPr>
          <w:rFonts w:ascii="Times New Roman" w:hAnsi="Times New Roman"/>
          <w:sz w:val="24"/>
          <w:szCs w:val="24"/>
        </w:rPr>
      </w:pPr>
      <w:r w:rsidRPr="00F610FD">
        <w:rPr>
          <w:rFonts w:ascii="Times New Roman" w:hAnsi="Times New Roman"/>
          <w:sz w:val="24"/>
          <w:szCs w:val="24"/>
        </w:rPr>
        <w:t>Ewaluacja projektu będzie prowadzona w ramach procesu przeglądu dyrektywy 2019/1023.</w:t>
      </w:r>
    </w:p>
    <w:p w14:paraId="3C07D15C" w14:textId="77777777" w:rsidR="00B73A98" w:rsidRDefault="00B73A98" w:rsidP="00B73A98">
      <w:pPr>
        <w:spacing w:line="360" w:lineRule="auto"/>
        <w:ind w:left="4956"/>
        <w:jc w:val="center"/>
      </w:pPr>
    </w:p>
    <w:p w14:paraId="12F7944F" w14:textId="77777777" w:rsidR="00EA29F6" w:rsidRDefault="00EA29F6" w:rsidP="00B73A98">
      <w:pPr>
        <w:spacing w:line="360" w:lineRule="auto"/>
        <w:ind w:left="4956"/>
        <w:jc w:val="center"/>
      </w:pPr>
    </w:p>
    <w:p w14:paraId="3F016507" w14:textId="77777777" w:rsidR="00B73A98" w:rsidRPr="00F31C4E" w:rsidRDefault="00B73A98" w:rsidP="00B73A98">
      <w:pPr>
        <w:spacing w:line="360" w:lineRule="auto"/>
        <w:ind w:left="4956"/>
        <w:jc w:val="center"/>
      </w:pPr>
      <w:r w:rsidRPr="00F31C4E">
        <w:t>Norbert Maliszewski</w:t>
      </w:r>
    </w:p>
    <w:p w14:paraId="338D9E94" w14:textId="77777777" w:rsidR="00B73A98" w:rsidRPr="0069503F" w:rsidRDefault="00B73A98" w:rsidP="00EA29F6">
      <w:pPr>
        <w:spacing w:line="360" w:lineRule="auto"/>
        <w:ind w:left="4956"/>
        <w:jc w:val="center"/>
      </w:pPr>
      <w:r>
        <w:t>/podpisano elektronicznie/</w:t>
      </w:r>
    </w:p>
    <w:p w14:paraId="5B094FDB" w14:textId="77777777" w:rsidR="007363DA" w:rsidRPr="00923301" w:rsidRDefault="007363DA" w:rsidP="00EA29F6">
      <w:pPr>
        <w:spacing w:line="360" w:lineRule="auto"/>
        <w:ind w:left="4956"/>
      </w:pPr>
    </w:p>
    <w:sectPr w:rsidR="007363DA" w:rsidRPr="00923301" w:rsidSect="00A95863">
      <w:headerReference w:type="default" r:id="rId8"/>
      <w:footerReference w:type="default" r:id="rId9"/>
      <w:headerReference w:type="first" r:id="rId10"/>
      <w:footerReference w:type="first" r:id="rId11"/>
      <w:pgSz w:w="11906" w:h="16838" w:code="9"/>
      <w:pgMar w:top="1276" w:right="1134" w:bottom="851" w:left="1418"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5B27A9" w14:textId="77777777" w:rsidR="00555FF9" w:rsidRDefault="00555FF9">
      <w:r>
        <w:separator/>
      </w:r>
    </w:p>
  </w:endnote>
  <w:endnote w:type="continuationSeparator" w:id="0">
    <w:p w14:paraId="6AFA63CE" w14:textId="77777777" w:rsidR="00555FF9" w:rsidRDefault="00555F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5442282"/>
      <w:docPartObj>
        <w:docPartGallery w:val="Page Numbers (Bottom of Page)"/>
        <w:docPartUnique/>
      </w:docPartObj>
    </w:sdtPr>
    <w:sdtContent>
      <w:p w14:paraId="71E78940" w14:textId="77777777" w:rsidR="00E60554" w:rsidRDefault="00E60554">
        <w:pPr>
          <w:pStyle w:val="Stopka"/>
          <w:jc w:val="right"/>
        </w:pPr>
        <w:r>
          <w:fldChar w:fldCharType="begin"/>
        </w:r>
        <w:r>
          <w:instrText>PAGE   \* MERGEFORMAT</w:instrText>
        </w:r>
        <w:r>
          <w:fldChar w:fldCharType="separate"/>
        </w:r>
        <w:r w:rsidR="00465B7C">
          <w:rPr>
            <w:noProof/>
          </w:rPr>
          <w:t>11</w:t>
        </w:r>
        <w:r>
          <w:fldChar w:fldCharType="end"/>
        </w:r>
      </w:p>
    </w:sdtContent>
  </w:sdt>
  <w:p w14:paraId="5A895050" w14:textId="77777777" w:rsidR="00754FAD" w:rsidRDefault="00754FAD" w:rsidP="009C2C00">
    <w:pPr>
      <w:pStyle w:val="Stopka"/>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1890161"/>
      <w:docPartObj>
        <w:docPartGallery w:val="Page Numbers (Bottom of Page)"/>
        <w:docPartUnique/>
      </w:docPartObj>
    </w:sdtPr>
    <w:sdtContent>
      <w:p w14:paraId="4B9172C6" w14:textId="77777777" w:rsidR="006C3C6B" w:rsidRPr="00590C4E" w:rsidRDefault="006C3C6B" w:rsidP="006C3C6B">
        <w:pPr>
          <w:pStyle w:val="Stopka"/>
          <w:tabs>
            <w:tab w:val="clear" w:pos="4536"/>
            <w:tab w:val="clear" w:pos="9072"/>
            <w:tab w:val="left" w:pos="5954"/>
          </w:tabs>
          <w:rPr>
            <w:sz w:val="16"/>
          </w:rPr>
        </w:pPr>
        <w:r w:rsidRPr="00590C4E">
          <w:rPr>
            <w:noProof/>
            <w:sz w:val="14"/>
          </w:rPr>
          <mc:AlternateContent>
            <mc:Choice Requires="wps">
              <w:drawing>
                <wp:anchor distT="0" distB="0" distL="114300" distR="114300" simplePos="0" relativeHeight="251661312" behindDoc="0" locked="0" layoutInCell="1" allowOverlap="1" wp14:anchorId="3F71F179" wp14:editId="114976AB">
                  <wp:simplePos x="0" y="0"/>
                  <wp:positionH relativeFrom="margin">
                    <wp:posOffset>0</wp:posOffset>
                  </wp:positionH>
                  <wp:positionV relativeFrom="paragraph">
                    <wp:posOffset>-120650</wp:posOffset>
                  </wp:positionV>
                  <wp:extent cx="5040000" cy="0"/>
                  <wp:effectExtent l="0" t="0" r="27305" b="19050"/>
                  <wp:wrapNone/>
                  <wp:docPr id="31" name="Łącznik prosty 31"/>
                  <wp:cNvGraphicFramePr/>
                  <a:graphic xmlns:a="http://schemas.openxmlformats.org/drawingml/2006/main">
                    <a:graphicData uri="http://schemas.microsoft.com/office/word/2010/wordprocessingShape">
                      <wps:wsp>
                        <wps:cNvCnPr/>
                        <wps:spPr>
                          <a:xfrm>
                            <a:off x="0" y="0"/>
                            <a:ext cx="504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CFAB289" id="Łącznik prosty 31"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9.5pt" to="396.8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" strokecolor="black [3213]" strokeweight=".5pt">
                  <v:stroke joinstyle="miter"/>
                  <w10:wrap anchorx="margin"/>
                </v:line>
              </w:pict>
            </mc:Fallback>
          </mc:AlternateContent>
        </w:r>
        <w:r>
          <w:rPr>
            <w:sz w:val="16"/>
          </w:rPr>
          <w:t>tel. +48 22 694 75 16</w:t>
        </w:r>
        <w:r>
          <w:rPr>
            <w:sz w:val="16"/>
          </w:rPr>
          <w:tab/>
        </w:r>
        <w:r>
          <w:rPr>
            <w:sz w:val="16"/>
          </w:rPr>
          <w:tab/>
        </w:r>
        <w:r w:rsidR="00176A4A">
          <w:rPr>
            <w:sz w:val="16"/>
          </w:rPr>
          <w:tab/>
        </w:r>
        <w:r>
          <w:rPr>
            <w:sz w:val="16"/>
          </w:rPr>
          <w:t xml:space="preserve">Al. Ujazdowskie 1/3 </w:t>
        </w:r>
      </w:p>
      <w:p w14:paraId="25ECEA87" w14:textId="77777777" w:rsidR="006C3C6B" w:rsidRPr="00590C4E" w:rsidRDefault="006C3C6B" w:rsidP="006C3C6B">
        <w:pPr>
          <w:pStyle w:val="Stopka"/>
          <w:tabs>
            <w:tab w:val="clear" w:pos="4536"/>
            <w:tab w:val="clear" w:pos="9072"/>
            <w:tab w:val="left" w:pos="5954"/>
          </w:tabs>
          <w:rPr>
            <w:sz w:val="16"/>
          </w:rPr>
        </w:pPr>
        <w:r w:rsidRPr="001F1865">
          <w:rPr>
            <w:sz w:val="16"/>
          </w:rPr>
          <w:t>sekretariatrca@kprm.gov.pl</w:t>
        </w:r>
        <w:r>
          <w:rPr>
            <w:sz w:val="16"/>
          </w:rPr>
          <w:tab/>
        </w:r>
        <w:r>
          <w:rPr>
            <w:sz w:val="16"/>
          </w:rPr>
          <w:tab/>
        </w:r>
        <w:r w:rsidR="00176A4A">
          <w:rPr>
            <w:sz w:val="16"/>
          </w:rPr>
          <w:tab/>
        </w:r>
        <w:r>
          <w:rPr>
            <w:sz w:val="16"/>
          </w:rPr>
          <w:t>00-583 Warszawa</w:t>
        </w:r>
      </w:p>
      <w:p w14:paraId="0CEDF34B" w14:textId="77777777" w:rsidR="006C3C6B" w:rsidRPr="006C3C6B" w:rsidRDefault="006C3C6B" w:rsidP="006C3C6B">
        <w:pPr>
          <w:pStyle w:val="Stopka"/>
          <w:rPr>
            <w:sz w:val="16"/>
          </w:rPr>
        </w:pPr>
        <w:r>
          <w:rPr>
            <w:sz w:val="16"/>
          </w:rPr>
          <w:t>gov.pl/premier</w:t>
        </w:r>
      </w:p>
      <w:p w14:paraId="1F9B4B35" w14:textId="77777777" w:rsidR="00F31C4E" w:rsidRDefault="00F31C4E">
        <w:pPr>
          <w:pStyle w:val="Stopka"/>
          <w:jc w:val="right"/>
        </w:pPr>
        <w:r>
          <w:fldChar w:fldCharType="begin"/>
        </w:r>
        <w:r>
          <w:instrText>PAGE   \* MERGEFORMAT</w:instrText>
        </w:r>
        <w:r>
          <w:fldChar w:fldCharType="separate"/>
        </w:r>
        <w:r w:rsidR="00465B7C">
          <w:rPr>
            <w:noProof/>
          </w:rPr>
          <w:t>1</w:t>
        </w:r>
        <w:r>
          <w:fldChar w:fldCharType="end"/>
        </w:r>
      </w:p>
    </w:sdtContent>
  </w:sdt>
  <w:p w14:paraId="23A0E442" w14:textId="77777777" w:rsidR="00EB2AA6" w:rsidRDefault="00EB2AA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4B6FB3" w14:textId="77777777" w:rsidR="00555FF9" w:rsidRDefault="00555FF9">
      <w:r>
        <w:separator/>
      </w:r>
    </w:p>
  </w:footnote>
  <w:footnote w:type="continuationSeparator" w:id="0">
    <w:p w14:paraId="4A588FD3" w14:textId="77777777" w:rsidR="00555FF9" w:rsidRDefault="00555F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3D79E" w14:textId="77777777" w:rsidR="00754FAD" w:rsidRDefault="00754FAD" w:rsidP="00FB5764">
    <w:pPr>
      <w:pStyle w:val="Nagwek"/>
      <w:ind w:left="-1134" w:right="1133"/>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FA589" w14:textId="77777777" w:rsidR="00FC2459" w:rsidRDefault="00FC2459">
    <w:pPr>
      <w:pStyle w:val="Nagwek"/>
    </w:pPr>
    <w:r>
      <w:rPr>
        <w:noProof/>
      </w:rPr>
      <w:drawing>
        <wp:anchor distT="0" distB="0" distL="114300" distR="114300" simplePos="0" relativeHeight="251659264" behindDoc="0" locked="0" layoutInCell="1" allowOverlap="1" wp14:anchorId="4872F7AC" wp14:editId="7D945AF2">
          <wp:simplePos x="0" y="0"/>
          <wp:positionH relativeFrom="page">
            <wp:align>left</wp:align>
          </wp:positionH>
          <wp:positionV relativeFrom="paragraph">
            <wp:posOffset>108585</wp:posOffset>
          </wp:positionV>
          <wp:extent cx="2934970" cy="1061720"/>
          <wp:effectExtent l="0" t="0" r="0" b="0"/>
          <wp:wrapThrough wrapText="bothSides">
            <wp:wrapPolygon edited="0">
              <wp:start x="3365" y="2325"/>
              <wp:lineTo x="1823" y="3876"/>
              <wp:lineTo x="841" y="6589"/>
              <wp:lineTo x="1402" y="17053"/>
              <wp:lineTo x="3785" y="18215"/>
              <wp:lineTo x="6449" y="18990"/>
              <wp:lineTo x="20609" y="18990"/>
              <wp:lineTo x="20890" y="15890"/>
              <wp:lineTo x="5888" y="15502"/>
              <wp:lineTo x="18226" y="13952"/>
              <wp:lineTo x="18226" y="9689"/>
              <wp:lineTo x="20469" y="8914"/>
              <wp:lineTo x="20469" y="5426"/>
              <wp:lineTo x="3926" y="2325"/>
              <wp:lineTo x="3365" y="2325"/>
            </wp:wrapPolygon>
          </wp:wrapThrough>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nowakowski\AppData\Local\Microsoft\Windows\INetCache\Content.Word\01_znak_podstawowy_kolor_biale_tlo.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934970" cy="10617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6AE52E8" w14:textId="77777777" w:rsidR="00FC2459" w:rsidRDefault="00FC2459">
    <w:pPr>
      <w:pStyle w:val="Nagwek"/>
    </w:pPr>
  </w:p>
  <w:p w14:paraId="48AF7BD4" w14:textId="77777777" w:rsidR="00FC2459" w:rsidRDefault="00FC2459">
    <w:pPr>
      <w:pStyle w:val="Nagwek"/>
    </w:pPr>
  </w:p>
  <w:p w14:paraId="0F2E3CED" w14:textId="77777777" w:rsidR="00FC2459" w:rsidRDefault="00FC2459">
    <w:pPr>
      <w:pStyle w:val="Nagwek"/>
    </w:pPr>
  </w:p>
  <w:p w14:paraId="7BE3F974" w14:textId="77777777" w:rsidR="00FC2459" w:rsidRDefault="00FC2459">
    <w:pPr>
      <w:pStyle w:val="Nagwek"/>
    </w:pPr>
  </w:p>
  <w:p w14:paraId="73E5E188" w14:textId="77777777" w:rsidR="00FC2459" w:rsidRDefault="00FC2459">
    <w:pPr>
      <w:pStyle w:val="Nagwek"/>
    </w:pPr>
  </w:p>
  <w:p w14:paraId="550A0B20" w14:textId="77777777" w:rsidR="002C3267" w:rsidRDefault="002C3267">
    <w:pPr>
      <w:pStyle w:val="Nagwek"/>
    </w:pPr>
  </w:p>
  <w:p w14:paraId="7D59BA0A" w14:textId="77777777" w:rsidR="00FC2459" w:rsidRPr="00670BAA" w:rsidRDefault="00FC2459" w:rsidP="00FC2459">
    <w:pPr>
      <w:rPr>
        <w:rFonts w:eastAsia="Calibri"/>
        <w:sz w:val="22"/>
        <w:szCs w:val="22"/>
        <w:lang w:eastAsia="en-US"/>
      </w:rPr>
    </w:pPr>
    <w:r w:rsidRPr="00670BAA">
      <w:rPr>
        <w:rFonts w:eastAsia="Calibri"/>
        <w:sz w:val="22"/>
        <w:szCs w:val="22"/>
        <w:lang w:eastAsia="en-US"/>
      </w:rPr>
      <w:t>SEKRETARZ STANU</w:t>
    </w:r>
  </w:p>
  <w:p w14:paraId="764315A7" w14:textId="77777777" w:rsidR="00FC2459" w:rsidRPr="00670BAA" w:rsidRDefault="00FC2459" w:rsidP="00FC2459">
    <w:pPr>
      <w:rPr>
        <w:rFonts w:eastAsia="Calibri"/>
        <w:sz w:val="22"/>
        <w:szCs w:val="22"/>
        <w:lang w:eastAsia="en-US"/>
      </w:rPr>
    </w:pPr>
    <w:r w:rsidRPr="00670BAA">
      <w:rPr>
        <w:rFonts w:eastAsia="Calibri"/>
        <w:sz w:val="22"/>
        <w:szCs w:val="22"/>
        <w:lang w:eastAsia="en-US"/>
      </w:rPr>
      <w:t>SZEF RZĄDOWEGO CENTRUM ANALIZ</w:t>
    </w:r>
  </w:p>
  <w:p w14:paraId="06A2A9F9" w14:textId="77777777" w:rsidR="00FC2459" w:rsidRPr="00BA2570" w:rsidRDefault="00FC2459" w:rsidP="00BA2570">
    <w:pPr>
      <w:rPr>
        <w:rFonts w:eastAsia="Calibri"/>
        <w:sz w:val="22"/>
        <w:szCs w:val="22"/>
        <w:lang w:eastAsia="en-US"/>
      </w:rPr>
    </w:pPr>
    <w:r w:rsidRPr="00670BAA">
      <w:rPr>
        <w:rFonts w:eastAsia="Calibri"/>
        <w:sz w:val="22"/>
        <w:szCs w:val="22"/>
        <w:lang w:eastAsia="en-US"/>
      </w:rPr>
      <w:t>dr hab. Norbert Maliszewski, prof. UKSW</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71498"/>
    <w:multiLevelType w:val="hybridMultilevel"/>
    <w:tmpl w:val="8630592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E5E5C03"/>
    <w:multiLevelType w:val="hybridMultilevel"/>
    <w:tmpl w:val="6CAA46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F585323"/>
    <w:multiLevelType w:val="hybridMultilevel"/>
    <w:tmpl w:val="12581AE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A94BAD"/>
    <w:multiLevelType w:val="hybridMultilevel"/>
    <w:tmpl w:val="F028B7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32D67FA"/>
    <w:multiLevelType w:val="hybridMultilevel"/>
    <w:tmpl w:val="D8D2A336"/>
    <w:lvl w:ilvl="0" w:tplc="C2C20E8E">
      <w:start w:val="1"/>
      <w:numFmt w:val="decimal"/>
      <w:lvlText w:val="%1."/>
      <w:lvlJc w:val="left"/>
      <w:pPr>
        <w:ind w:left="360" w:hanging="360"/>
      </w:pPr>
      <w:rPr>
        <w:rFonts w:ascii="Times New Roman" w:hAnsi="Times New Roman" w:cs="Times New Roman" w:hint="default"/>
        <w:b w:val="0"/>
        <w:sz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B9278B2"/>
    <w:multiLevelType w:val="hybridMultilevel"/>
    <w:tmpl w:val="6C160700"/>
    <w:lvl w:ilvl="0" w:tplc="7A9E6E68">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DB26C694">
      <w:start w:val="1"/>
      <w:numFmt w:val="decimal"/>
      <w:lvlText w:val="%3)"/>
      <w:lvlJc w:val="left"/>
      <w:pPr>
        <w:ind w:left="234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E1E1F5A"/>
    <w:multiLevelType w:val="hybridMultilevel"/>
    <w:tmpl w:val="0DE4349E"/>
    <w:lvl w:ilvl="0" w:tplc="04150011">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F884F67"/>
    <w:multiLevelType w:val="hybridMultilevel"/>
    <w:tmpl w:val="C95AF7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08C512C"/>
    <w:multiLevelType w:val="hybridMultilevel"/>
    <w:tmpl w:val="B0122C9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 w15:restartNumberingAfterBreak="0">
    <w:nsid w:val="2B7D1353"/>
    <w:multiLevelType w:val="hybridMultilevel"/>
    <w:tmpl w:val="32EE5FE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15:restartNumberingAfterBreak="0">
    <w:nsid w:val="2DE96EE4"/>
    <w:multiLevelType w:val="hybridMultilevel"/>
    <w:tmpl w:val="AD6A539E"/>
    <w:lvl w:ilvl="0" w:tplc="0409000F">
      <w:start w:val="1"/>
      <w:numFmt w:val="decimal"/>
      <w:lvlText w:val="%1."/>
      <w:lvlJc w:val="left"/>
      <w:pPr>
        <w:ind w:left="436" w:hanging="360"/>
      </w:pPr>
      <w:rPr>
        <w:rFonts w:hint="default"/>
      </w:rPr>
    </w:lvl>
    <w:lvl w:ilvl="1" w:tplc="04090003">
      <w:start w:val="1"/>
      <w:numFmt w:val="bullet"/>
      <w:lvlText w:val="o"/>
      <w:lvlJc w:val="left"/>
      <w:pPr>
        <w:ind w:left="1156" w:hanging="360"/>
      </w:pPr>
      <w:rPr>
        <w:rFonts w:ascii="Courier New" w:hAnsi="Courier New" w:cs="Courier New" w:hint="default"/>
      </w:rPr>
    </w:lvl>
    <w:lvl w:ilvl="2" w:tplc="04090005" w:tentative="1">
      <w:start w:val="1"/>
      <w:numFmt w:val="bullet"/>
      <w:lvlText w:val=""/>
      <w:lvlJc w:val="left"/>
      <w:pPr>
        <w:ind w:left="1876" w:hanging="360"/>
      </w:pPr>
      <w:rPr>
        <w:rFonts w:ascii="Wingdings" w:hAnsi="Wingdings" w:hint="default"/>
      </w:rPr>
    </w:lvl>
    <w:lvl w:ilvl="3" w:tplc="04090001" w:tentative="1">
      <w:start w:val="1"/>
      <w:numFmt w:val="bullet"/>
      <w:lvlText w:val=""/>
      <w:lvlJc w:val="left"/>
      <w:pPr>
        <w:ind w:left="2596" w:hanging="360"/>
      </w:pPr>
      <w:rPr>
        <w:rFonts w:ascii="Symbol" w:hAnsi="Symbol" w:hint="default"/>
      </w:rPr>
    </w:lvl>
    <w:lvl w:ilvl="4" w:tplc="04090003" w:tentative="1">
      <w:start w:val="1"/>
      <w:numFmt w:val="bullet"/>
      <w:lvlText w:val="o"/>
      <w:lvlJc w:val="left"/>
      <w:pPr>
        <w:ind w:left="3316" w:hanging="360"/>
      </w:pPr>
      <w:rPr>
        <w:rFonts w:ascii="Courier New" w:hAnsi="Courier New" w:cs="Courier New" w:hint="default"/>
      </w:rPr>
    </w:lvl>
    <w:lvl w:ilvl="5" w:tplc="04090005" w:tentative="1">
      <w:start w:val="1"/>
      <w:numFmt w:val="bullet"/>
      <w:lvlText w:val=""/>
      <w:lvlJc w:val="left"/>
      <w:pPr>
        <w:ind w:left="4036" w:hanging="360"/>
      </w:pPr>
      <w:rPr>
        <w:rFonts w:ascii="Wingdings" w:hAnsi="Wingdings" w:hint="default"/>
      </w:rPr>
    </w:lvl>
    <w:lvl w:ilvl="6" w:tplc="04090001" w:tentative="1">
      <w:start w:val="1"/>
      <w:numFmt w:val="bullet"/>
      <w:lvlText w:val=""/>
      <w:lvlJc w:val="left"/>
      <w:pPr>
        <w:ind w:left="4756" w:hanging="360"/>
      </w:pPr>
      <w:rPr>
        <w:rFonts w:ascii="Symbol" w:hAnsi="Symbol" w:hint="default"/>
      </w:rPr>
    </w:lvl>
    <w:lvl w:ilvl="7" w:tplc="04090003" w:tentative="1">
      <w:start w:val="1"/>
      <w:numFmt w:val="bullet"/>
      <w:lvlText w:val="o"/>
      <w:lvlJc w:val="left"/>
      <w:pPr>
        <w:ind w:left="5476" w:hanging="360"/>
      </w:pPr>
      <w:rPr>
        <w:rFonts w:ascii="Courier New" w:hAnsi="Courier New" w:cs="Courier New" w:hint="default"/>
      </w:rPr>
    </w:lvl>
    <w:lvl w:ilvl="8" w:tplc="04090005" w:tentative="1">
      <w:start w:val="1"/>
      <w:numFmt w:val="bullet"/>
      <w:lvlText w:val=""/>
      <w:lvlJc w:val="left"/>
      <w:pPr>
        <w:ind w:left="6196" w:hanging="360"/>
      </w:pPr>
      <w:rPr>
        <w:rFonts w:ascii="Wingdings" w:hAnsi="Wingdings" w:hint="default"/>
      </w:rPr>
    </w:lvl>
  </w:abstractNum>
  <w:abstractNum w:abstractNumId="11" w15:restartNumberingAfterBreak="0">
    <w:nsid w:val="2E3E3D13"/>
    <w:multiLevelType w:val="hybridMultilevel"/>
    <w:tmpl w:val="8E7463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65B1083"/>
    <w:multiLevelType w:val="hybridMultilevel"/>
    <w:tmpl w:val="3CBC6EB2"/>
    <w:lvl w:ilvl="0" w:tplc="04150013">
      <w:start w:val="1"/>
      <w:numFmt w:val="upperRoman"/>
      <w:lvlText w:val="%1."/>
      <w:lvlJc w:val="right"/>
      <w:pPr>
        <w:ind w:left="436"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3" w15:restartNumberingAfterBreak="0">
    <w:nsid w:val="3BC6630B"/>
    <w:multiLevelType w:val="hybridMultilevel"/>
    <w:tmpl w:val="3CBC6EB2"/>
    <w:lvl w:ilvl="0" w:tplc="04150013">
      <w:start w:val="1"/>
      <w:numFmt w:val="upperRoman"/>
      <w:lvlText w:val="%1."/>
      <w:lvlJc w:val="right"/>
      <w:pPr>
        <w:ind w:left="436" w:hanging="360"/>
      </w:pPr>
      <w:rPr>
        <w:rFonts w:hint="default"/>
      </w:rPr>
    </w:lvl>
    <w:lvl w:ilvl="1" w:tplc="04150019">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4" w15:restartNumberingAfterBreak="0">
    <w:nsid w:val="3D9D615B"/>
    <w:multiLevelType w:val="hybridMultilevel"/>
    <w:tmpl w:val="AD6A539E"/>
    <w:lvl w:ilvl="0" w:tplc="0409000F">
      <w:start w:val="1"/>
      <w:numFmt w:val="decimal"/>
      <w:lvlText w:val="%1."/>
      <w:lvlJc w:val="left"/>
      <w:pPr>
        <w:ind w:left="436" w:hanging="360"/>
      </w:pPr>
      <w:rPr>
        <w:rFonts w:hint="default"/>
      </w:rPr>
    </w:lvl>
    <w:lvl w:ilvl="1" w:tplc="04090003">
      <w:start w:val="1"/>
      <w:numFmt w:val="bullet"/>
      <w:lvlText w:val="o"/>
      <w:lvlJc w:val="left"/>
      <w:pPr>
        <w:ind w:left="1156" w:hanging="360"/>
      </w:pPr>
      <w:rPr>
        <w:rFonts w:ascii="Courier New" w:hAnsi="Courier New" w:cs="Courier New" w:hint="default"/>
      </w:rPr>
    </w:lvl>
    <w:lvl w:ilvl="2" w:tplc="04090005" w:tentative="1">
      <w:start w:val="1"/>
      <w:numFmt w:val="bullet"/>
      <w:lvlText w:val=""/>
      <w:lvlJc w:val="left"/>
      <w:pPr>
        <w:ind w:left="1876" w:hanging="360"/>
      </w:pPr>
      <w:rPr>
        <w:rFonts w:ascii="Wingdings" w:hAnsi="Wingdings" w:hint="default"/>
      </w:rPr>
    </w:lvl>
    <w:lvl w:ilvl="3" w:tplc="04090001" w:tentative="1">
      <w:start w:val="1"/>
      <w:numFmt w:val="bullet"/>
      <w:lvlText w:val=""/>
      <w:lvlJc w:val="left"/>
      <w:pPr>
        <w:ind w:left="2596" w:hanging="360"/>
      </w:pPr>
      <w:rPr>
        <w:rFonts w:ascii="Symbol" w:hAnsi="Symbol" w:hint="default"/>
      </w:rPr>
    </w:lvl>
    <w:lvl w:ilvl="4" w:tplc="04090003" w:tentative="1">
      <w:start w:val="1"/>
      <w:numFmt w:val="bullet"/>
      <w:lvlText w:val="o"/>
      <w:lvlJc w:val="left"/>
      <w:pPr>
        <w:ind w:left="3316" w:hanging="360"/>
      </w:pPr>
      <w:rPr>
        <w:rFonts w:ascii="Courier New" w:hAnsi="Courier New" w:cs="Courier New" w:hint="default"/>
      </w:rPr>
    </w:lvl>
    <w:lvl w:ilvl="5" w:tplc="04090005" w:tentative="1">
      <w:start w:val="1"/>
      <w:numFmt w:val="bullet"/>
      <w:lvlText w:val=""/>
      <w:lvlJc w:val="left"/>
      <w:pPr>
        <w:ind w:left="4036" w:hanging="360"/>
      </w:pPr>
      <w:rPr>
        <w:rFonts w:ascii="Wingdings" w:hAnsi="Wingdings" w:hint="default"/>
      </w:rPr>
    </w:lvl>
    <w:lvl w:ilvl="6" w:tplc="04090001" w:tentative="1">
      <w:start w:val="1"/>
      <w:numFmt w:val="bullet"/>
      <w:lvlText w:val=""/>
      <w:lvlJc w:val="left"/>
      <w:pPr>
        <w:ind w:left="4756" w:hanging="360"/>
      </w:pPr>
      <w:rPr>
        <w:rFonts w:ascii="Symbol" w:hAnsi="Symbol" w:hint="default"/>
      </w:rPr>
    </w:lvl>
    <w:lvl w:ilvl="7" w:tplc="04090003" w:tentative="1">
      <w:start w:val="1"/>
      <w:numFmt w:val="bullet"/>
      <w:lvlText w:val="o"/>
      <w:lvlJc w:val="left"/>
      <w:pPr>
        <w:ind w:left="5476" w:hanging="360"/>
      </w:pPr>
      <w:rPr>
        <w:rFonts w:ascii="Courier New" w:hAnsi="Courier New" w:cs="Courier New" w:hint="default"/>
      </w:rPr>
    </w:lvl>
    <w:lvl w:ilvl="8" w:tplc="04090005" w:tentative="1">
      <w:start w:val="1"/>
      <w:numFmt w:val="bullet"/>
      <w:lvlText w:val=""/>
      <w:lvlJc w:val="left"/>
      <w:pPr>
        <w:ind w:left="6196" w:hanging="360"/>
      </w:pPr>
      <w:rPr>
        <w:rFonts w:ascii="Wingdings" w:hAnsi="Wingdings" w:hint="default"/>
      </w:rPr>
    </w:lvl>
  </w:abstractNum>
  <w:abstractNum w:abstractNumId="15" w15:restartNumberingAfterBreak="0">
    <w:nsid w:val="45260307"/>
    <w:multiLevelType w:val="hybridMultilevel"/>
    <w:tmpl w:val="41720F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A456A9D"/>
    <w:multiLevelType w:val="hybridMultilevel"/>
    <w:tmpl w:val="19C4EF98"/>
    <w:lvl w:ilvl="0" w:tplc="04150013">
      <w:start w:val="1"/>
      <w:numFmt w:val="upperRoman"/>
      <w:lvlText w:val="%1."/>
      <w:lvlJc w:val="righ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4C8D771C"/>
    <w:multiLevelType w:val="hybridMultilevel"/>
    <w:tmpl w:val="9A8433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D4215B6"/>
    <w:multiLevelType w:val="hybridMultilevel"/>
    <w:tmpl w:val="A282D17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4FC3384E"/>
    <w:multiLevelType w:val="hybridMultilevel"/>
    <w:tmpl w:val="41720F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660625D"/>
    <w:multiLevelType w:val="hybridMultilevel"/>
    <w:tmpl w:val="AD6A539E"/>
    <w:lvl w:ilvl="0" w:tplc="0409000F">
      <w:start w:val="1"/>
      <w:numFmt w:val="decimal"/>
      <w:lvlText w:val="%1."/>
      <w:lvlJc w:val="left"/>
      <w:pPr>
        <w:ind w:left="436" w:hanging="360"/>
      </w:pPr>
      <w:rPr>
        <w:rFonts w:hint="default"/>
      </w:rPr>
    </w:lvl>
    <w:lvl w:ilvl="1" w:tplc="04090003">
      <w:start w:val="1"/>
      <w:numFmt w:val="bullet"/>
      <w:lvlText w:val="o"/>
      <w:lvlJc w:val="left"/>
      <w:pPr>
        <w:ind w:left="1156" w:hanging="360"/>
      </w:pPr>
      <w:rPr>
        <w:rFonts w:ascii="Courier New" w:hAnsi="Courier New" w:cs="Courier New" w:hint="default"/>
      </w:rPr>
    </w:lvl>
    <w:lvl w:ilvl="2" w:tplc="04090005" w:tentative="1">
      <w:start w:val="1"/>
      <w:numFmt w:val="bullet"/>
      <w:lvlText w:val=""/>
      <w:lvlJc w:val="left"/>
      <w:pPr>
        <w:ind w:left="1876" w:hanging="360"/>
      </w:pPr>
      <w:rPr>
        <w:rFonts w:ascii="Wingdings" w:hAnsi="Wingdings" w:hint="default"/>
      </w:rPr>
    </w:lvl>
    <w:lvl w:ilvl="3" w:tplc="04090001" w:tentative="1">
      <w:start w:val="1"/>
      <w:numFmt w:val="bullet"/>
      <w:lvlText w:val=""/>
      <w:lvlJc w:val="left"/>
      <w:pPr>
        <w:ind w:left="2596" w:hanging="360"/>
      </w:pPr>
      <w:rPr>
        <w:rFonts w:ascii="Symbol" w:hAnsi="Symbol" w:hint="default"/>
      </w:rPr>
    </w:lvl>
    <w:lvl w:ilvl="4" w:tplc="04090003" w:tentative="1">
      <w:start w:val="1"/>
      <w:numFmt w:val="bullet"/>
      <w:lvlText w:val="o"/>
      <w:lvlJc w:val="left"/>
      <w:pPr>
        <w:ind w:left="3316" w:hanging="360"/>
      </w:pPr>
      <w:rPr>
        <w:rFonts w:ascii="Courier New" w:hAnsi="Courier New" w:cs="Courier New" w:hint="default"/>
      </w:rPr>
    </w:lvl>
    <w:lvl w:ilvl="5" w:tplc="04090005" w:tentative="1">
      <w:start w:val="1"/>
      <w:numFmt w:val="bullet"/>
      <w:lvlText w:val=""/>
      <w:lvlJc w:val="left"/>
      <w:pPr>
        <w:ind w:left="4036" w:hanging="360"/>
      </w:pPr>
      <w:rPr>
        <w:rFonts w:ascii="Wingdings" w:hAnsi="Wingdings" w:hint="default"/>
      </w:rPr>
    </w:lvl>
    <w:lvl w:ilvl="6" w:tplc="04090001" w:tentative="1">
      <w:start w:val="1"/>
      <w:numFmt w:val="bullet"/>
      <w:lvlText w:val=""/>
      <w:lvlJc w:val="left"/>
      <w:pPr>
        <w:ind w:left="4756" w:hanging="360"/>
      </w:pPr>
      <w:rPr>
        <w:rFonts w:ascii="Symbol" w:hAnsi="Symbol" w:hint="default"/>
      </w:rPr>
    </w:lvl>
    <w:lvl w:ilvl="7" w:tplc="04090003" w:tentative="1">
      <w:start w:val="1"/>
      <w:numFmt w:val="bullet"/>
      <w:lvlText w:val="o"/>
      <w:lvlJc w:val="left"/>
      <w:pPr>
        <w:ind w:left="5476" w:hanging="360"/>
      </w:pPr>
      <w:rPr>
        <w:rFonts w:ascii="Courier New" w:hAnsi="Courier New" w:cs="Courier New" w:hint="default"/>
      </w:rPr>
    </w:lvl>
    <w:lvl w:ilvl="8" w:tplc="04090005" w:tentative="1">
      <w:start w:val="1"/>
      <w:numFmt w:val="bullet"/>
      <w:lvlText w:val=""/>
      <w:lvlJc w:val="left"/>
      <w:pPr>
        <w:ind w:left="6196" w:hanging="360"/>
      </w:pPr>
      <w:rPr>
        <w:rFonts w:ascii="Wingdings" w:hAnsi="Wingdings" w:hint="default"/>
      </w:rPr>
    </w:lvl>
  </w:abstractNum>
  <w:abstractNum w:abstractNumId="21" w15:restartNumberingAfterBreak="0">
    <w:nsid w:val="576469EF"/>
    <w:multiLevelType w:val="hybridMultilevel"/>
    <w:tmpl w:val="6D58502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B0754FA"/>
    <w:multiLevelType w:val="hybridMultilevel"/>
    <w:tmpl w:val="A9E414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B3A77C4"/>
    <w:multiLevelType w:val="hybridMultilevel"/>
    <w:tmpl w:val="6C160700"/>
    <w:lvl w:ilvl="0" w:tplc="7A9E6E68">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DB26C694">
      <w:start w:val="1"/>
      <w:numFmt w:val="decimal"/>
      <w:lvlText w:val="%3)"/>
      <w:lvlJc w:val="left"/>
      <w:pPr>
        <w:ind w:left="234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CD5346F"/>
    <w:multiLevelType w:val="hybridMultilevel"/>
    <w:tmpl w:val="B0122C9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5" w15:restartNumberingAfterBreak="0">
    <w:nsid w:val="5E5E73AA"/>
    <w:multiLevelType w:val="hybridMultilevel"/>
    <w:tmpl w:val="8132DCDE"/>
    <w:lvl w:ilvl="0" w:tplc="CB424DB2">
      <w:start w:val="1"/>
      <w:numFmt w:val="decimal"/>
      <w:lvlText w:val="%1."/>
      <w:lvlJc w:val="left"/>
      <w:pPr>
        <w:ind w:left="720" w:hanging="360"/>
      </w:pPr>
      <w:rPr>
        <w:rFonts w:ascii="Times New Roman" w:hAnsi="Times New Roman" w:cs="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1D73CB1"/>
    <w:multiLevelType w:val="hybridMultilevel"/>
    <w:tmpl w:val="10F61F4E"/>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66BC0020"/>
    <w:multiLevelType w:val="hybridMultilevel"/>
    <w:tmpl w:val="23806DB4"/>
    <w:lvl w:ilvl="0" w:tplc="2768131C">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90122A3"/>
    <w:multiLevelType w:val="hybridMultilevel"/>
    <w:tmpl w:val="EF7CFC4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9AD59C4"/>
    <w:multiLevelType w:val="hybridMultilevel"/>
    <w:tmpl w:val="FB6C237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AFB66A3"/>
    <w:multiLevelType w:val="hybridMultilevel"/>
    <w:tmpl w:val="3CBC6EB2"/>
    <w:lvl w:ilvl="0" w:tplc="04150013">
      <w:start w:val="1"/>
      <w:numFmt w:val="upperRoman"/>
      <w:lvlText w:val="%1."/>
      <w:lvlJc w:val="right"/>
      <w:pPr>
        <w:ind w:left="436"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31" w15:restartNumberingAfterBreak="0">
    <w:nsid w:val="6D7744E4"/>
    <w:multiLevelType w:val="hybridMultilevel"/>
    <w:tmpl w:val="99943C6E"/>
    <w:lvl w:ilvl="0" w:tplc="B07860B6">
      <w:start w:val="1"/>
      <w:numFmt w:val="decimal"/>
      <w:lvlText w:val="%1."/>
      <w:lvlJc w:val="left"/>
      <w:pPr>
        <w:ind w:left="360" w:hanging="360"/>
      </w:pPr>
      <w:rPr>
        <w:rFonts w:ascii="Times New Roman" w:hAnsi="Times New Roman" w:cs="Times New Roman" w:hint="default"/>
        <w:sz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7AD33CEC"/>
    <w:multiLevelType w:val="hybridMultilevel"/>
    <w:tmpl w:val="8B5A6A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C604F52"/>
    <w:multiLevelType w:val="hybridMultilevel"/>
    <w:tmpl w:val="7EE22A06"/>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7CD55832"/>
    <w:multiLevelType w:val="hybridMultilevel"/>
    <w:tmpl w:val="9BF2274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5" w15:restartNumberingAfterBreak="0">
    <w:nsid w:val="7D2247F9"/>
    <w:multiLevelType w:val="hybridMultilevel"/>
    <w:tmpl w:val="2D0203D4"/>
    <w:lvl w:ilvl="0" w:tplc="04150017">
      <w:start w:val="1"/>
      <w:numFmt w:val="lowerLetter"/>
      <w:lvlText w:val="%1)"/>
      <w:lvlJc w:val="left"/>
      <w:pPr>
        <w:ind w:left="720" w:hanging="360"/>
      </w:pPr>
    </w:lvl>
    <w:lvl w:ilvl="1" w:tplc="182CC6F0">
      <w:numFmt w:val="bullet"/>
      <w:lvlText w:val="•"/>
      <w:lvlJc w:val="left"/>
      <w:pPr>
        <w:ind w:left="1440" w:hanging="360"/>
      </w:pPr>
      <w:rPr>
        <w:rFonts w:ascii="Times New Roman" w:eastAsia="Times New Roman" w:hAnsi="Times New Roman" w:cs="Times New Roman"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7D24332A"/>
    <w:multiLevelType w:val="hybridMultilevel"/>
    <w:tmpl w:val="19C4EF98"/>
    <w:lvl w:ilvl="0" w:tplc="04150013">
      <w:start w:val="1"/>
      <w:numFmt w:val="upperRoman"/>
      <w:lvlText w:val="%1."/>
      <w:lvlJc w:val="righ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914897384">
    <w:abstractNumId w:val="26"/>
  </w:num>
  <w:num w:numId="2" w16cid:durableId="1371220693">
    <w:abstractNumId w:val="31"/>
  </w:num>
  <w:num w:numId="3" w16cid:durableId="1864635691">
    <w:abstractNumId w:val="2"/>
  </w:num>
  <w:num w:numId="4" w16cid:durableId="236669289">
    <w:abstractNumId w:val="22"/>
  </w:num>
  <w:num w:numId="5" w16cid:durableId="263731013">
    <w:abstractNumId w:val="5"/>
  </w:num>
  <w:num w:numId="6" w16cid:durableId="1807896002">
    <w:abstractNumId w:val="4"/>
  </w:num>
  <w:num w:numId="7" w16cid:durableId="135605325">
    <w:abstractNumId w:val="33"/>
  </w:num>
  <w:num w:numId="8" w16cid:durableId="89131175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914279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9217553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99500660">
    <w:abstractNumId w:val="24"/>
  </w:num>
  <w:num w:numId="12" w16cid:durableId="597911045">
    <w:abstractNumId w:val="16"/>
  </w:num>
  <w:num w:numId="13" w16cid:durableId="568728125">
    <w:abstractNumId w:val="18"/>
  </w:num>
  <w:num w:numId="14" w16cid:durableId="1318269723">
    <w:abstractNumId w:val="3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17791571">
    <w:abstractNumId w:val="1"/>
  </w:num>
  <w:num w:numId="16" w16cid:durableId="1792363032">
    <w:abstractNumId w:val="14"/>
  </w:num>
  <w:num w:numId="17" w16cid:durableId="1719547889">
    <w:abstractNumId w:val="6"/>
  </w:num>
  <w:num w:numId="18" w16cid:durableId="382678411">
    <w:abstractNumId w:val="10"/>
  </w:num>
  <w:num w:numId="19" w16cid:durableId="511917901">
    <w:abstractNumId w:val="20"/>
  </w:num>
  <w:num w:numId="20" w16cid:durableId="942955181">
    <w:abstractNumId w:val="23"/>
  </w:num>
  <w:num w:numId="21" w16cid:durableId="1363094096">
    <w:abstractNumId w:val="21"/>
  </w:num>
  <w:num w:numId="22" w16cid:durableId="1734624193">
    <w:abstractNumId w:val="0"/>
  </w:num>
  <w:num w:numId="23" w16cid:durableId="1356686192">
    <w:abstractNumId w:val="7"/>
  </w:num>
  <w:num w:numId="24" w16cid:durableId="774640292">
    <w:abstractNumId w:val="29"/>
  </w:num>
  <w:num w:numId="25" w16cid:durableId="1592159747">
    <w:abstractNumId w:val="3"/>
  </w:num>
  <w:num w:numId="26" w16cid:durableId="2037342822">
    <w:abstractNumId w:val="28"/>
  </w:num>
  <w:num w:numId="27" w16cid:durableId="862406407">
    <w:abstractNumId w:val="32"/>
  </w:num>
  <w:num w:numId="28" w16cid:durableId="1013726734">
    <w:abstractNumId w:val="17"/>
  </w:num>
  <w:num w:numId="29" w16cid:durableId="545798828">
    <w:abstractNumId w:val="34"/>
  </w:num>
  <w:num w:numId="30" w16cid:durableId="2024938695">
    <w:abstractNumId w:val="11"/>
  </w:num>
  <w:num w:numId="31" w16cid:durableId="591857216">
    <w:abstractNumId w:val="12"/>
  </w:num>
  <w:num w:numId="32" w16cid:durableId="1255675929">
    <w:abstractNumId w:val="15"/>
  </w:num>
  <w:num w:numId="33" w16cid:durableId="1863351692">
    <w:abstractNumId w:val="27"/>
  </w:num>
  <w:num w:numId="34" w16cid:durableId="532961088">
    <w:abstractNumId w:val="25"/>
  </w:num>
  <w:num w:numId="35" w16cid:durableId="428434594">
    <w:abstractNumId w:val="30"/>
  </w:num>
  <w:num w:numId="36" w16cid:durableId="82453132">
    <w:abstractNumId w:val="19"/>
  </w:num>
  <w:num w:numId="37" w16cid:durableId="339084191">
    <w:abstractNumId w:val="13"/>
  </w:num>
  <w:num w:numId="38" w16cid:durableId="2096122938">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1BD"/>
    <w:rsid w:val="000107AF"/>
    <w:rsid w:val="00096F7D"/>
    <w:rsid w:val="000B2E21"/>
    <w:rsid w:val="000B5066"/>
    <w:rsid w:val="000C4B91"/>
    <w:rsid w:val="000D5055"/>
    <w:rsid w:val="000E7DFF"/>
    <w:rsid w:val="0012268A"/>
    <w:rsid w:val="00125DCF"/>
    <w:rsid w:val="00137EF7"/>
    <w:rsid w:val="00147645"/>
    <w:rsid w:val="00176A4A"/>
    <w:rsid w:val="001A3754"/>
    <w:rsid w:val="001C0747"/>
    <w:rsid w:val="001C1A6F"/>
    <w:rsid w:val="001C4CC5"/>
    <w:rsid w:val="00225308"/>
    <w:rsid w:val="00231D21"/>
    <w:rsid w:val="00262F3A"/>
    <w:rsid w:val="00282780"/>
    <w:rsid w:val="002854E5"/>
    <w:rsid w:val="002A0DA3"/>
    <w:rsid w:val="002C0265"/>
    <w:rsid w:val="002C25AB"/>
    <w:rsid w:val="002C3267"/>
    <w:rsid w:val="002D6DAA"/>
    <w:rsid w:val="00334B7C"/>
    <w:rsid w:val="00340F2D"/>
    <w:rsid w:val="00355DCE"/>
    <w:rsid w:val="00357906"/>
    <w:rsid w:val="00367D00"/>
    <w:rsid w:val="00444DF5"/>
    <w:rsid w:val="00446181"/>
    <w:rsid w:val="00451469"/>
    <w:rsid w:val="00465B7C"/>
    <w:rsid w:val="0049060C"/>
    <w:rsid w:val="004A2A25"/>
    <w:rsid w:val="004F20D4"/>
    <w:rsid w:val="00520C32"/>
    <w:rsid w:val="005214EC"/>
    <w:rsid w:val="00555FF9"/>
    <w:rsid w:val="005807BC"/>
    <w:rsid w:val="0058723A"/>
    <w:rsid w:val="00594915"/>
    <w:rsid w:val="006333D3"/>
    <w:rsid w:val="00670BAA"/>
    <w:rsid w:val="006744DF"/>
    <w:rsid w:val="006868A8"/>
    <w:rsid w:val="006A19AA"/>
    <w:rsid w:val="006B1BE2"/>
    <w:rsid w:val="006C3C6B"/>
    <w:rsid w:val="006C5A22"/>
    <w:rsid w:val="006C6A9D"/>
    <w:rsid w:val="006F1D0F"/>
    <w:rsid w:val="007363DA"/>
    <w:rsid w:val="00741126"/>
    <w:rsid w:val="00754FAD"/>
    <w:rsid w:val="007701E9"/>
    <w:rsid w:val="007E0753"/>
    <w:rsid w:val="008838A5"/>
    <w:rsid w:val="008C07F5"/>
    <w:rsid w:val="008C186D"/>
    <w:rsid w:val="008C1A9D"/>
    <w:rsid w:val="008C7598"/>
    <w:rsid w:val="008F7D11"/>
    <w:rsid w:val="00923301"/>
    <w:rsid w:val="0092612B"/>
    <w:rsid w:val="0094028E"/>
    <w:rsid w:val="009C2C00"/>
    <w:rsid w:val="009C5BB5"/>
    <w:rsid w:val="009D7528"/>
    <w:rsid w:val="009E50DB"/>
    <w:rsid w:val="009E7754"/>
    <w:rsid w:val="009F1380"/>
    <w:rsid w:val="00A403D4"/>
    <w:rsid w:val="00A471BD"/>
    <w:rsid w:val="00A51667"/>
    <w:rsid w:val="00A55699"/>
    <w:rsid w:val="00A61978"/>
    <w:rsid w:val="00A7346A"/>
    <w:rsid w:val="00A95863"/>
    <w:rsid w:val="00AA4978"/>
    <w:rsid w:val="00AC396E"/>
    <w:rsid w:val="00B05EFC"/>
    <w:rsid w:val="00B06A5F"/>
    <w:rsid w:val="00B12D51"/>
    <w:rsid w:val="00B33A1E"/>
    <w:rsid w:val="00B7169F"/>
    <w:rsid w:val="00B73A98"/>
    <w:rsid w:val="00BA2570"/>
    <w:rsid w:val="00BB2815"/>
    <w:rsid w:val="00BC3C80"/>
    <w:rsid w:val="00BC450F"/>
    <w:rsid w:val="00C05524"/>
    <w:rsid w:val="00C10C37"/>
    <w:rsid w:val="00C130BC"/>
    <w:rsid w:val="00C21E15"/>
    <w:rsid w:val="00C22223"/>
    <w:rsid w:val="00C258D1"/>
    <w:rsid w:val="00C33102"/>
    <w:rsid w:val="00C370F9"/>
    <w:rsid w:val="00C654D8"/>
    <w:rsid w:val="00CA0508"/>
    <w:rsid w:val="00CA488E"/>
    <w:rsid w:val="00D05B72"/>
    <w:rsid w:val="00D25FFA"/>
    <w:rsid w:val="00D411C9"/>
    <w:rsid w:val="00D71079"/>
    <w:rsid w:val="00D805D9"/>
    <w:rsid w:val="00DF3FF0"/>
    <w:rsid w:val="00E21BAE"/>
    <w:rsid w:val="00E46C04"/>
    <w:rsid w:val="00E51CCF"/>
    <w:rsid w:val="00E60554"/>
    <w:rsid w:val="00E61DD7"/>
    <w:rsid w:val="00E63200"/>
    <w:rsid w:val="00E76B80"/>
    <w:rsid w:val="00E9459C"/>
    <w:rsid w:val="00EA29F6"/>
    <w:rsid w:val="00EA2AB3"/>
    <w:rsid w:val="00EB2AA6"/>
    <w:rsid w:val="00EC2D3B"/>
    <w:rsid w:val="00ED4C49"/>
    <w:rsid w:val="00EE4E6F"/>
    <w:rsid w:val="00F0707A"/>
    <w:rsid w:val="00F31C4E"/>
    <w:rsid w:val="00F33906"/>
    <w:rsid w:val="00F64B3F"/>
    <w:rsid w:val="00F66A49"/>
    <w:rsid w:val="00F71359"/>
    <w:rsid w:val="00F7776A"/>
    <w:rsid w:val="00F82938"/>
    <w:rsid w:val="00FA3DB4"/>
    <w:rsid w:val="00FB5764"/>
    <w:rsid w:val="00FC24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337782"/>
  <w15:chartTrackingRefBased/>
  <w15:docId w15:val="{3045E1B4-9129-426E-8A89-29F795C8A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2A0DA3"/>
    <w:pPr>
      <w:tabs>
        <w:tab w:val="center" w:pos="4536"/>
        <w:tab w:val="right" w:pos="9072"/>
      </w:tabs>
    </w:pPr>
  </w:style>
  <w:style w:type="paragraph" w:styleId="Stopka">
    <w:name w:val="footer"/>
    <w:basedOn w:val="Normalny"/>
    <w:link w:val="StopkaZnak"/>
    <w:uiPriority w:val="99"/>
    <w:rsid w:val="002A0DA3"/>
    <w:pPr>
      <w:tabs>
        <w:tab w:val="center" w:pos="4536"/>
        <w:tab w:val="right" w:pos="9072"/>
      </w:tabs>
    </w:pPr>
  </w:style>
  <w:style w:type="paragraph" w:styleId="Akapitzlist">
    <w:name w:val="List Paragraph"/>
    <w:aliases w:val="Wyliczanie,List Paragraph,BulletC,Listaszerű bekezdés1,List Paragraph à moi,Dot pt,F5 List Paragraph,Numbered Para 1,No Spacing1,List Paragraph Char Char Char,Indicator Text,Bullet Points,MAIN CONTENT,IFCL - List Paragraph,A_wyliczenie,L1"/>
    <w:basedOn w:val="Normalny"/>
    <w:link w:val="AkapitzlistZnak"/>
    <w:uiPriority w:val="34"/>
    <w:qFormat/>
    <w:rsid w:val="00CA488E"/>
    <w:pPr>
      <w:spacing w:after="160" w:line="259" w:lineRule="auto"/>
      <w:ind w:left="720"/>
      <w:contextualSpacing/>
    </w:pPr>
    <w:rPr>
      <w:rFonts w:ascii="Calibri" w:eastAsia="Calibri" w:hAnsi="Calibri"/>
      <w:sz w:val="22"/>
      <w:szCs w:val="22"/>
      <w:lang w:eastAsia="en-US"/>
    </w:rPr>
  </w:style>
  <w:style w:type="character" w:customStyle="1" w:styleId="AkapitzlistZnak">
    <w:name w:val="Akapit z listą Znak"/>
    <w:aliases w:val="Wyliczanie Znak,List Paragraph Znak,BulletC Znak,Listaszerű bekezdés1 Znak,List Paragraph à moi Znak,Dot pt Znak,F5 List Paragraph Znak,Numbered Para 1 Znak,No Spacing1 Znak,List Paragraph Char Char Char Znak,Indicator Text Znak"/>
    <w:link w:val="Akapitzlist"/>
    <w:uiPriority w:val="34"/>
    <w:qFormat/>
    <w:rsid w:val="00CA488E"/>
    <w:rPr>
      <w:rFonts w:ascii="Calibri" w:eastAsia="Calibri" w:hAnsi="Calibri"/>
      <w:sz w:val="22"/>
      <w:szCs w:val="22"/>
      <w:lang w:eastAsia="en-US"/>
    </w:rPr>
  </w:style>
  <w:style w:type="character" w:customStyle="1" w:styleId="StopkaZnak">
    <w:name w:val="Stopka Znak"/>
    <w:basedOn w:val="Domylnaczcionkaakapitu"/>
    <w:link w:val="Stopka"/>
    <w:uiPriority w:val="99"/>
    <w:rsid w:val="00EB2AA6"/>
    <w:rPr>
      <w:sz w:val="24"/>
      <w:szCs w:val="24"/>
    </w:rPr>
  </w:style>
  <w:style w:type="paragraph" w:styleId="Tekstprzypisudolnego">
    <w:name w:val="footnote text"/>
    <w:basedOn w:val="Normalny"/>
    <w:link w:val="TekstprzypisudolnegoZnak"/>
    <w:uiPriority w:val="99"/>
    <w:semiHidden/>
    <w:unhideWhenUsed/>
    <w:rsid w:val="00F31C4E"/>
    <w:rPr>
      <w:rFonts w:ascii="Calibri" w:eastAsia="Calibri" w:hAnsi="Calibri"/>
      <w:sz w:val="20"/>
      <w:szCs w:val="20"/>
      <w:lang w:eastAsia="en-US"/>
    </w:rPr>
  </w:style>
  <w:style w:type="character" w:customStyle="1" w:styleId="TekstprzypisudolnegoZnak">
    <w:name w:val="Tekst przypisu dolnego Znak"/>
    <w:basedOn w:val="Domylnaczcionkaakapitu"/>
    <w:link w:val="Tekstprzypisudolnego"/>
    <w:uiPriority w:val="99"/>
    <w:semiHidden/>
    <w:rsid w:val="00F31C4E"/>
    <w:rPr>
      <w:rFonts w:ascii="Calibri" w:eastAsia="Calibri" w:hAnsi="Calibri"/>
      <w:lang w:eastAsia="en-US"/>
    </w:rPr>
  </w:style>
  <w:style w:type="character" w:styleId="Odwoanieprzypisudolnego">
    <w:name w:val="footnote reference"/>
    <w:uiPriority w:val="99"/>
    <w:semiHidden/>
    <w:unhideWhenUsed/>
    <w:rsid w:val="00F31C4E"/>
    <w:rPr>
      <w:vertAlign w:val="superscript"/>
    </w:rPr>
  </w:style>
  <w:style w:type="paragraph" w:styleId="Tekstdymka">
    <w:name w:val="Balloon Text"/>
    <w:basedOn w:val="Normalny"/>
    <w:link w:val="TekstdymkaZnak"/>
    <w:uiPriority w:val="99"/>
    <w:semiHidden/>
    <w:unhideWhenUsed/>
    <w:rsid w:val="00F31C4E"/>
    <w:rPr>
      <w:rFonts w:ascii="Segoe UI" w:hAnsi="Segoe UI" w:cs="Segoe UI"/>
      <w:sz w:val="18"/>
      <w:szCs w:val="18"/>
    </w:rPr>
  </w:style>
  <w:style w:type="character" w:customStyle="1" w:styleId="TekstdymkaZnak">
    <w:name w:val="Tekst dymka Znak"/>
    <w:basedOn w:val="Domylnaczcionkaakapitu"/>
    <w:link w:val="Tekstdymka"/>
    <w:uiPriority w:val="99"/>
    <w:semiHidden/>
    <w:rsid w:val="00F31C4E"/>
    <w:rPr>
      <w:rFonts w:ascii="Segoe UI" w:hAnsi="Segoe UI" w:cs="Segoe UI"/>
      <w:sz w:val="18"/>
      <w:szCs w:val="18"/>
    </w:rPr>
  </w:style>
  <w:style w:type="character" w:customStyle="1" w:styleId="Teksttreci">
    <w:name w:val="Tekst treści_"/>
    <w:basedOn w:val="Domylnaczcionkaakapitu"/>
    <w:link w:val="Teksttreci0"/>
    <w:locked/>
    <w:rsid w:val="00147645"/>
    <w:rPr>
      <w:rFonts w:ascii="Arial" w:eastAsia="Arial" w:hAnsi="Arial" w:cs="Arial"/>
      <w:shd w:val="clear" w:color="auto" w:fill="FFFFFF"/>
    </w:rPr>
  </w:style>
  <w:style w:type="paragraph" w:customStyle="1" w:styleId="Teksttreci0">
    <w:name w:val="Tekst treści"/>
    <w:basedOn w:val="Normalny"/>
    <w:link w:val="Teksttreci"/>
    <w:rsid w:val="00147645"/>
    <w:pPr>
      <w:widowControl w:val="0"/>
      <w:shd w:val="clear" w:color="auto" w:fill="FFFFFF"/>
      <w:spacing w:after="220" w:line="242" w:lineRule="auto"/>
      <w:jc w:val="both"/>
    </w:pPr>
    <w:rPr>
      <w:rFonts w:ascii="Arial" w:eastAsia="Arial" w:hAnsi="Arial" w:cs="Arial"/>
      <w:sz w:val="20"/>
      <w:szCs w:val="20"/>
    </w:rPr>
  </w:style>
  <w:style w:type="table" w:styleId="Tabela-Siatka">
    <w:name w:val="Table Grid"/>
    <w:basedOn w:val="Standardowy"/>
    <w:uiPriority w:val="99"/>
    <w:rsid w:val="0094028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KTpunkt">
    <w:name w:val="PKT – punkt"/>
    <w:uiPriority w:val="13"/>
    <w:qFormat/>
    <w:rsid w:val="0094028E"/>
    <w:pPr>
      <w:spacing w:line="360" w:lineRule="auto"/>
      <w:ind w:left="510" w:hanging="510"/>
      <w:jc w:val="both"/>
    </w:pPr>
    <w:rPr>
      <w:rFonts w:ascii="Times" w:eastAsiaTheme="minorEastAsia" w:hAnsi="Times" w:cs="Arial"/>
      <w:bCs/>
      <w:sz w:val="24"/>
    </w:rPr>
  </w:style>
  <w:style w:type="paragraph" w:styleId="NormalnyWeb">
    <w:name w:val="Normal (Web)"/>
    <w:basedOn w:val="Normalny"/>
    <w:uiPriority w:val="99"/>
    <w:unhideWhenUsed/>
    <w:rsid w:val="00282780"/>
    <w:pPr>
      <w:spacing w:before="100" w:beforeAutospacing="1" w:after="100" w:afterAutospacing="1"/>
    </w:pPr>
  </w:style>
  <w:style w:type="character" w:customStyle="1" w:styleId="cf01">
    <w:name w:val="cf01"/>
    <w:basedOn w:val="Domylnaczcionkaakapitu"/>
    <w:rsid w:val="0028278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8530182">
      <w:bodyDiv w:val="1"/>
      <w:marLeft w:val="0"/>
      <w:marRight w:val="0"/>
      <w:marTop w:val="0"/>
      <w:marBottom w:val="0"/>
      <w:divBdr>
        <w:top w:val="none" w:sz="0" w:space="0" w:color="auto"/>
        <w:left w:val="none" w:sz="0" w:space="0" w:color="auto"/>
        <w:bottom w:val="none" w:sz="0" w:space="0" w:color="auto"/>
        <w:right w:val="none" w:sz="0" w:space="0" w:color="auto"/>
      </w:divBdr>
    </w:div>
    <w:div w:id="701513448">
      <w:bodyDiv w:val="1"/>
      <w:marLeft w:val="0"/>
      <w:marRight w:val="0"/>
      <w:marTop w:val="0"/>
      <w:marBottom w:val="0"/>
      <w:divBdr>
        <w:top w:val="none" w:sz="0" w:space="0" w:color="auto"/>
        <w:left w:val="none" w:sz="0" w:space="0" w:color="auto"/>
        <w:bottom w:val="none" w:sz="0" w:space="0" w:color="auto"/>
        <w:right w:val="none" w:sz="0" w:space="0" w:color="auto"/>
      </w:divBdr>
    </w:div>
    <w:div w:id="1101024135">
      <w:bodyDiv w:val="1"/>
      <w:marLeft w:val="0"/>
      <w:marRight w:val="0"/>
      <w:marTop w:val="0"/>
      <w:marBottom w:val="0"/>
      <w:divBdr>
        <w:top w:val="none" w:sz="0" w:space="0" w:color="auto"/>
        <w:left w:val="none" w:sz="0" w:space="0" w:color="auto"/>
        <w:bottom w:val="none" w:sz="0" w:space="0" w:color="auto"/>
        <w:right w:val="none" w:sz="0" w:space="0" w:color="auto"/>
      </w:divBdr>
    </w:div>
    <w:div w:id="1950698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B11E64-5F7D-4C6A-919D-8B7A89C375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3535</Words>
  <Characters>21214</Characters>
  <Application>Microsoft Office Word</Application>
  <DocSecurity>0</DocSecurity>
  <Lines>176</Lines>
  <Paragraphs>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Kuśmirek Miłosław</dc:creator>
  <cp:keywords/>
  <dc:description/>
  <cp:lastModifiedBy>Łyczakowska Olga  (DPG)</cp:lastModifiedBy>
  <cp:revision>2</cp:revision>
  <cp:lastPrinted>2022-10-28T08:42:00Z</cp:lastPrinted>
  <dcterms:created xsi:type="dcterms:W3CDTF">2023-06-21T09:37:00Z</dcterms:created>
  <dcterms:modified xsi:type="dcterms:W3CDTF">2023-06-21T09:37:00Z</dcterms:modified>
</cp:coreProperties>
</file>